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bidi/>
        <w:spacing w:after="120"/>
        <w:jc w:val="center"/>
      </w:pPr>
      <w:r>
        <w:rPr>
          <w:rFonts w:ascii="Arial" w:cs="Arial" w:eastAsia="Arial" w:hAnsi="Arial"/>
          <w:color w:val="B95B3C"/>
          <w:sz w:val="30"/>
          <w:szCs w:val="30"/>
          <w:rtl/>
        </w:rPr>
        <w:t xml:space="preserve">مبادرة</w:t>
      </w:r>
    </w:p>
    <w:p>
      <w:pPr>
        <w:bidi/>
        <w:spacing w:after="200"/>
        <w:jc w:val="center"/>
      </w:pPr>
      <w:r>
        <w:rPr>
          <w:rFonts w:ascii="Arial" w:cs="Arial" w:eastAsia="Arial" w:hAnsi="Arial"/>
          <w:b/>
          <w:bCs/>
          <w:color w:val="2B2620"/>
          <w:sz w:val="64"/>
          <w:szCs w:val="64"/>
          <w:rtl/>
        </w:rPr>
        <w:t xml:space="preserve">سند وعمار</w:t>
      </w:r>
    </w:p>
    <w:p>
      <w:pPr>
        <w:bidi/>
        <w:spacing w:after="500"/>
        <w:jc w:val="center"/>
      </w:pPr>
      <w:r>
        <w:rPr>
          <w:rFonts w:ascii="Arial" w:cs="Arial" w:eastAsia="Arial" w:hAnsi="Arial"/>
          <w:b/>
          <w:bCs/>
          <w:color w:val="B95B3C"/>
          <w:sz w:val="30"/>
          <w:szCs w:val="30"/>
          <w:rtl/>
        </w:rPr>
        <w:t xml:space="preserve">الرجولة الإيجابية والتماسك الأسري في قطاع غزة</w:t>
      </w:r>
    </w:p>
    <w:p>
      <w:pPr>
        <w:bidi/>
        <w:spacing w:after="80"/>
        <w:jc w:val="center"/>
      </w:pPr>
      <w:r>
        <w:rPr>
          <w:rFonts w:ascii="Arial" w:cs="Arial" w:eastAsia="Arial" w:hAnsi="Arial"/>
          <w:i/>
          <w:iCs/>
          <w:color w:val="2B2620"/>
          <w:sz w:val="22"/>
          <w:szCs w:val="22"/>
          <w:rtl/>
        </w:rPr>
        <w:t xml:space="preserve">مقترح مشروع معد للعرض التنافسي</w:t>
      </w:r>
    </w:p>
    <w:p>
      <w:pPr>
        <w:bidi/>
        <w:spacing w:before="700"/>
        <w:jc w:val="center"/>
      </w:pPr>
      <w:r>
        <w:rPr>
          <w:rFonts w:ascii="Arial" w:cs="Arial" w:eastAsia="Arial" w:hAnsi="Arial"/>
          <w:b/>
          <w:bCs/>
          <w:color w:val="B95B3C"/>
          <w:sz w:val="24"/>
          <w:szCs w:val="24"/>
          <w:rtl/>
        </w:rPr>
        <w:t xml:space="preserve">500</w:t>
      </w:r>
      <w:r>
        <w:rPr>
          <w:rFonts w:ascii="Arial" w:cs="Arial" w:eastAsia="Arial" w:hAnsi="Arial"/>
          <w:color w:val="2B2620"/>
          <w:sz w:val="20"/>
          <w:szCs w:val="20"/>
          <w:rtl/>
        </w:rPr>
        <w:t xml:space="preserve">  مستفيد مباشر     </w:t>
      </w:r>
      <w:r>
        <w:rPr>
          <w:rFonts w:ascii="Arial" w:cs="Arial" w:eastAsia="Arial" w:hAnsi="Arial"/>
          <w:b/>
          <w:bCs/>
          <w:color w:val="B95B3C"/>
          <w:sz w:val="24"/>
          <w:szCs w:val="24"/>
          <w:rtl/>
        </w:rPr>
        <w:t xml:space="preserve">50,000+</w:t>
      </w:r>
      <w:r>
        <w:rPr>
          <w:rFonts w:ascii="Arial" w:cs="Arial" w:eastAsia="Arial" w:hAnsi="Arial"/>
          <w:color w:val="2B2620"/>
          <w:sz w:val="20"/>
          <w:szCs w:val="20"/>
          <w:rtl/>
        </w:rPr>
        <w:t xml:space="preserve">  وصول رقمي     </w:t>
      </w:r>
      <w:r>
        <w:rPr>
          <w:rFonts w:ascii="Arial" w:cs="Arial" w:eastAsia="Arial" w:hAnsi="Arial"/>
          <w:b/>
          <w:bCs/>
          <w:color w:val="B95B3C"/>
          <w:sz w:val="24"/>
          <w:szCs w:val="24"/>
          <w:rtl/>
        </w:rPr>
        <w:t xml:space="preserve">8</w:t>
      </w:r>
      <w:r>
        <w:rPr>
          <w:rFonts w:ascii="Arial" w:cs="Arial" w:eastAsia="Arial" w:hAnsi="Arial"/>
          <w:color w:val="2B2620"/>
          <w:sz w:val="20"/>
          <w:szCs w:val="20"/>
          <w:rtl/>
        </w:rPr>
        <w:t xml:space="preserve">  أسابيع تنفيذ     </w:t>
      </w:r>
      <w:r>
        <w:rPr>
          <w:rFonts w:ascii="Arial" w:cs="Arial" w:eastAsia="Arial" w:hAnsi="Arial"/>
          <w:b/>
          <w:bCs/>
          <w:color w:val="B95B3C"/>
          <w:sz w:val="24"/>
          <w:szCs w:val="24"/>
          <w:rtl/>
        </w:rPr>
        <w:t xml:space="preserve">4,000$</w:t>
      </w:r>
      <w:r>
        <w:rPr>
          <w:rFonts w:ascii="Arial" w:cs="Arial" w:eastAsia="Arial" w:hAnsi="Arial"/>
          <w:color w:val="2B2620"/>
          <w:sz w:val="20"/>
          <w:szCs w:val="20"/>
          <w:rtl/>
        </w:rPr>
        <w:t xml:space="preserve">  ميزانية</w:t>
      </w:r>
    </w:p>
    <w:p>
      <w:r>
        <w:br w:type="page"/>
      </w:r>
    </w:p>
    <w:p>
      <w:pPr>
        <w:pStyle w:val="Heading1"/>
        <w:pBdr>
          <w:bottom w:val="single" w:color="B95B3C" w:sz="12" w:space="6"/>
        </w:pBdr>
        <w:bidi/>
        <w:spacing w:after="200" w:before="380"/>
        <w:jc w:val="right"/>
      </w:pPr>
      <w:r>
        <w:rPr>
          <w:rFonts w:ascii="Arial" w:cs="Arial" w:eastAsia="Arial" w:hAnsi="Arial"/>
          <w:b/>
          <w:bCs/>
          <w:color w:val="2B2620"/>
          <w:sz w:val="32"/>
          <w:szCs w:val="32"/>
          <w:rtl/>
        </w:rPr>
        <w:t xml:space="preserve">نبذة سريعة</w:t>
      </w:r>
    </w:p>
    <w:p>
      <w:pPr>
        <w:bidi/>
        <w:spacing w:after="160" w:line="336"/>
        <w:jc w:val="right"/>
      </w:pPr>
      <w:r>
        <w:rPr>
          <w:rFonts w:ascii="Arial" w:cs="Arial" w:eastAsia="Arial" w:hAnsi="Arial"/>
          <w:sz w:val="22"/>
          <w:szCs w:val="22"/>
          <w:rtl/>
        </w:rPr>
        <w:t xml:space="preserve">في خيمة نزوح لا تتجاوز مساحتها بضعة أمتار، يقف رجل أمام أسرته عاجزاً عن تأمين لقمة العيش، لكنه ممنوع اجتماعياً من إظهار هذا العجز أو التعبير عنه. هذا الصمت المفروض يتحول تدريجياً إلى شرخ داخل البيت الواحد.</w:t>
      </w:r>
    </w:p>
    <w:p>
      <w:pPr>
        <w:bidi/>
        <w:spacing w:after="160" w:line="336"/>
        <w:jc w:val="right"/>
      </w:pPr>
      <w:r>
        <w:rPr>
          <w:rFonts w:ascii="Arial" w:cs="Arial" w:eastAsia="Arial" w:hAnsi="Arial"/>
          <w:sz w:val="22"/>
          <w:szCs w:val="22"/>
          <w:rtl/>
        </w:rPr>
        <w:t xml:space="preserve">"سند وعمار" مبادرة مجتمعية نفسية تعيد تعريف الرجولة في زمن الحرب والنزوح: ليست الصلابة الصامتة، بل القدرة على الرعاية والإصغاء والشراكة. نستهدف 500 مستفيد مباشر و50,000+ وصول رقمي، خلال 8 أسابيع وبميزانية 4,000 دولار فقط.</w:t>
      </w:r>
    </w:p>
    <w:p>
      <w:pPr>
        <w:pStyle w:val="Heading1"/>
        <w:pBdr>
          <w:bottom w:val="single" w:color="B95B3C" w:sz="12" w:space="6"/>
        </w:pBdr>
        <w:bidi/>
        <w:spacing w:after="200" w:before="380"/>
        <w:jc w:val="right"/>
      </w:pPr>
      <w:r>
        <w:rPr>
          <w:rFonts w:ascii="Arial" w:cs="Arial" w:eastAsia="Arial" w:hAnsi="Arial"/>
          <w:b/>
          <w:bCs/>
          <w:color w:val="2B2620"/>
          <w:sz w:val="32"/>
          <w:szCs w:val="32"/>
          <w:rtl/>
        </w:rPr>
        <w:t xml:space="preserve">1. تعريف المشكلة</w:t>
      </w:r>
    </w:p>
    <w:p>
      <w:pPr>
        <w:pStyle w:val="Heading2"/>
        <w:bidi/>
        <w:spacing w:after="140" w:before="260"/>
        <w:jc w:val="right"/>
      </w:pPr>
      <w:r>
        <w:rPr>
          <w:rFonts w:ascii="Arial" w:cs="Arial" w:eastAsia="Arial" w:hAnsi="Arial"/>
          <w:b/>
          <w:bCs/>
          <w:color w:val="B95B3C"/>
          <w:sz w:val="26"/>
          <w:szCs w:val="26"/>
          <w:rtl/>
        </w:rPr>
        <w:t xml:space="preserve">1.1 الواقع الميداني</w:t>
      </w:r>
    </w:p>
    <w:p>
      <w:pPr>
        <w:bidi/>
        <w:spacing w:after="160" w:line="336"/>
        <w:jc w:val="right"/>
      </w:pPr>
      <w:r>
        <w:rPr>
          <w:rFonts w:ascii="Arial" w:cs="Arial" w:eastAsia="Arial" w:hAnsi="Arial"/>
          <w:sz w:val="22"/>
          <w:szCs w:val="22"/>
          <w:rtl/>
        </w:rPr>
        <w:t xml:space="preserve">تعيش عشرات آلاف العائلات الفلسطينية في غزة داخل خيام النزوح ومراكز الإيواء في ظروف طاردة للاستقرار النفسي والاجتماعي. هذا الواقع لا يهدد فقط الأمن المادي للأسرة، بل يضرب في عمق البنية النفسية التي تحافظ على تماسكها.</w:t>
      </w:r>
    </w:p>
    <w:p>
      <w:pPr>
        <w:pStyle w:val="Heading2"/>
        <w:bidi/>
        <w:spacing w:after="140" w:before="260"/>
        <w:jc w:val="right"/>
      </w:pPr>
      <w:r>
        <w:rPr>
          <w:rFonts w:ascii="Arial" w:cs="Arial" w:eastAsia="Arial" w:hAnsi="Arial"/>
          <w:b/>
          <w:bCs/>
          <w:color w:val="B95B3C"/>
          <w:sz w:val="26"/>
          <w:szCs w:val="26"/>
          <w:rtl/>
        </w:rPr>
        <w:t xml:space="preserve">1.2 جذر المشكلة: أزمة "الرجولة الصامتة"</w:t>
      </w:r>
    </w:p>
    <w:p>
      <w:pPr>
        <w:bidi/>
        <w:spacing w:after="160" w:line="336"/>
        <w:jc w:val="right"/>
      </w:pPr>
      <w:r>
        <w:rPr>
          <w:rFonts w:ascii="Arial" w:cs="Arial" w:eastAsia="Arial" w:hAnsi="Arial"/>
          <w:sz w:val="22"/>
          <w:szCs w:val="22"/>
          <w:rtl/>
        </w:rPr>
        <w:t xml:space="preserve">يواجه الرجال والشباب في هذا السياق ضغطاً مزدوجاً:</w:t>
      </w:r>
    </w:p>
    <w:p>
      <w:pPr>
        <w:pStyle w:val="ListParagraph"/>
        <w:numPr>
          <w:ilvl w:val="0"/>
          <w:numId w:val="2"/>
        </w:numPr>
        <w:bidi/>
        <w:spacing w:after="100"/>
        <w:jc w:val="right"/>
      </w:pPr>
      <w:r>
        <w:rPr>
          <w:rFonts w:ascii="Arial" w:cs="Arial" w:eastAsia="Arial" w:hAnsi="Arial"/>
          <w:color w:val="2B2620"/>
          <w:sz w:val="22"/>
          <w:szCs w:val="22"/>
          <w:rtl/>
        </w:rPr>
        <w:t xml:space="preserve">عجز فعلي عن تأمين الاحتياجات الأساسية (الماء، الغذاء، الأمان، المسكن).</w:t>
      </w:r>
    </w:p>
    <w:p>
      <w:pPr>
        <w:pStyle w:val="ListParagraph"/>
        <w:numPr>
          <w:ilvl w:val="0"/>
          <w:numId w:val="2"/>
        </w:numPr>
        <w:bidi/>
        <w:spacing w:after="100"/>
        <w:jc w:val="right"/>
      </w:pPr>
      <w:r>
        <w:rPr>
          <w:rFonts w:ascii="Arial" w:cs="Arial" w:eastAsia="Arial" w:hAnsi="Arial"/>
          <w:color w:val="2B2620"/>
          <w:sz w:val="22"/>
          <w:szCs w:val="22"/>
          <w:rtl/>
        </w:rPr>
        <w:t xml:space="preserve">ضغط الصورة النمطية التي تحصر الرجولة في الصلابة الفردية المطلقة، وتمنع أي تعبير عاطفي أو اعتراف بالتعب باعتباره "ضعفاً".</w:t>
      </w:r>
    </w:p>
    <w:p>
      <w:pPr>
        <w:bidi/>
        <w:spacing w:after="160" w:line="336"/>
        <w:jc w:val="right"/>
      </w:pPr>
      <w:r>
        <w:rPr>
          <w:rFonts w:ascii="Arial" w:cs="Arial" w:eastAsia="Arial" w:hAnsi="Arial"/>
          <w:sz w:val="22"/>
          <w:szCs w:val="22"/>
          <w:rtl/>
        </w:rPr>
        <w:t xml:space="preserve">النتيجة هي انسحاب عاطفي، أو انفجارات غضب، أو صمت قاتل داخل الخيمة الواحدة — وكلها عوامل تُضعف قدرة الأسرة على الصمود الجماعي في أصعب لحظاتها.</w:t>
      </w:r>
    </w:p>
    <w:p>
      <w:pPr>
        <w:pStyle w:val="Heading2"/>
        <w:bidi/>
        <w:spacing w:after="140" w:before="260"/>
        <w:jc w:val="right"/>
      </w:pPr>
      <w:r>
        <w:rPr>
          <w:rFonts w:ascii="Arial" w:cs="Arial" w:eastAsia="Arial" w:hAnsi="Arial"/>
          <w:b/>
          <w:bCs/>
          <w:color w:val="B95B3C"/>
          <w:sz w:val="26"/>
          <w:szCs w:val="26"/>
          <w:rtl/>
        </w:rPr>
        <w:t xml:space="preserve">1.3 الفجوة في الاستجابة الحالية</w:t>
      </w:r>
    </w:p>
    <w:p>
      <w:pPr>
        <w:bidi/>
        <w:spacing w:after="160" w:line="336"/>
        <w:jc w:val="right"/>
      </w:pPr>
      <w:r>
        <w:rPr>
          <w:rFonts w:ascii="Arial" w:cs="Arial" w:eastAsia="Arial" w:hAnsi="Arial"/>
          <w:sz w:val="22"/>
          <w:szCs w:val="22"/>
          <w:rtl/>
        </w:rPr>
        <w:t xml:space="preserve">برامج الإغاثة القائمة تركز — وبأهمية بالغة — على الغذاء والمأوى والصحة، لكنها تكاد تخلو من أي تدخل مباشر يعالج الدور العاطفي والاجتماعي للرجل والشاب داخل الأسرة. لا توجد مساحات آمنة يعبّر فيها الرجال عن ضغوطهم، ولا أدوات عملية لإعادة توزيع الأعباء داخل البيت النازح، ولا مسار يُشرك الشابات في إعادة تعريف هذه الأدوار بدل تحمّلها بصمت.</w:t>
      </w:r>
    </w:p>
    <w:p>
      <w:pPr>
        <w:pBdr>
          <w:right w:val="single" w:color="B95B3C" w:sz="18" w:space="8"/>
        </w:pBdr>
        <w:shd w:fill="F4EDE4" w:val="clear"/>
        <w:bidi/>
        <w:spacing w:after="200" w:before="120"/>
        <w:ind w:left="400" w:right="400"/>
        <w:jc w:val="right"/>
      </w:pPr>
      <w:r>
        <w:rPr>
          <w:rFonts w:ascii="Arial" w:cs="Arial" w:eastAsia="Arial" w:hAnsi="Arial"/>
          <w:i/>
          <w:iCs/>
          <w:color w:val="2B2620"/>
          <w:sz w:val="22"/>
          <w:szCs w:val="22"/>
          <w:rtl/>
        </w:rPr>
        <w:t xml:space="preserve">هذه هي الفجوة النوعية التي تأتي "سند وعمار" لسدّها.</w:t>
      </w:r>
    </w:p>
    <w:p>
      <w:pPr>
        <w:pStyle w:val="Heading1"/>
        <w:pBdr>
          <w:bottom w:val="single" w:color="B95B3C" w:sz="12" w:space="6"/>
        </w:pBdr>
        <w:bidi/>
        <w:spacing w:after="200" w:before="380"/>
        <w:jc w:val="right"/>
      </w:pPr>
      <w:r>
        <w:rPr>
          <w:rFonts w:ascii="Arial" w:cs="Arial" w:eastAsia="Arial" w:hAnsi="Arial"/>
          <w:b/>
          <w:bCs/>
          <w:color w:val="2B2620"/>
          <w:sz w:val="32"/>
          <w:szCs w:val="32"/>
          <w:rtl/>
        </w:rPr>
        <w:t xml:space="preserve">2. الحل: مبادرة سند وعمار</w:t>
      </w:r>
    </w:p>
    <w:p>
      <w:pPr>
        <w:pStyle w:val="Heading2"/>
        <w:bidi/>
        <w:spacing w:after="140" w:before="260"/>
        <w:jc w:val="right"/>
      </w:pPr>
      <w:r>
        <w:rPr>
          <w:rFonts w:ascii="Arial" w:cs="Arial" w:eastAsia="Arial" w:hAnsi="Arial"/>
          <w:b/>
          <w:bCs/>
          <w:color w:val="B95B3C"/>
          <w:sz w:val="26"/>
          <w:szCs w:val="26"/>
          <w:rtl/>
        </w:rPr>
        <w:t xml:space="preserve">2.1 الفكرة الجوهرية</w:t>
      </w:r>
    </w:p>
    <w:p>
      <w:pPr>
        <w:bidi/>
        <w:spacing w:after="160" w:line="336"/>
        <w:jc w:val="right"/>
      </w:pPr>
      <w:r>
        <w:rPr>
          <w:rFonts w:ascii="Arial" w:cs="Arial" w:eastAsia="Arial" w:hAnsi="Arial"/>
          <w:sz w:val="22"/>
          <w:szCs w:val="22"/>
          <w:rtl/>
        </w:rPr>
        <w:t xml:space="preserve">تحويل "الرجولة الإيجابية" من شعار إلى ممارسة يومية قابلة للتطبيق فوراً: الرعاية، والإصغاء العاطفي، والشراكة المنزلية كأدوات قوة واستقرار، لا كنقيض للرجولة بل كجوهرها الحقيقي في زمن الأزمة.</w:t>
      </w:r>
    </w:p>
    <w:p>
      <w:pPr>
        <w:pBdr>
          <w:right w:val="single" w:color="B95B3C" w:sz="18" w:space="8"/>
        </w:pBdr>
        <w:shd w:fill="F4EDE4" w:val="clear"/>
        <w:bidi/>
        <w:spacing w:after="200" w:before="120"/>
        <w:ind w:left="400" w:right="400"/>
        <w:jc w:val="right"/>
      </w:pPr>
      <w:r>
        <w:rPr>
          <w:rFonts w:ascii="Arial" w:cs="Arial" w:eastAsia="Arial" w:hAnsi="Arial"/>
          <w:i/>
          <w:iCs/>
          <w:color w:val="2B2620"/>
          <w:sz w:val="22"/>
          <w:szCs w:val="22"/>
          <w:rtl/>
        </w:rPr>
        <w:t xml:space="preserve">الرجولة في الظروف الطارئة ليست بمعزل عن الألم، بل هي القدرة على حمل المسؤولية بالرحمة، وتقاسم عبء الخيمة والنزوح، وتحويل البيت إلى مساحة أمان متبادل.</w:t>
      </w:r>
    </w:p>
    <w:p>
      <w:pPr>
        <w:pStyle w:val="Heading2"/>
        <w:bidi/>
        <w:spacing w:after="140" w:before="260"/>
        <w:jc w:val="right"/>
      </w:pPr>
      <w:r>
        <w:rPr>
          <w:rFonts w:ascii="Arial" w:cs="Arial" w:eastAsia="Arial" w:hAnsi="Arial"/>
          <w:b/>
          <w:bCs/>
          <w:color w:val="B95B3C"/>
          <w:sz w:val="26"/>
          <w:szCs w:val="26"/>
          <w:rtl/>
        </w:rPr>
        <w:t xml:space="preserve">2.2 لماذا هذا الحل مختلف؟</w:t>
      </w:r>
    </w:p>
    <w:p>
      <w:pPr>
        <w:pStyle w:val="ListParagraph"/>
        <w:numPr>
          <w:ilvl w:val="0"/>
          <w:numId w:val="2"/>
        </w:numPr>
        <w:bidi/>
        <w:spacing w:after="100"/>
        <w:jc w:val="right"/>
      </w:pPr>
      <w:r>
        <w:rPr>
          <w:rFonts w:ascii="Arial" w:cs="Arial" w:eastAsia="Arial" w:hAnsi="Arial"/>
          <w:color w:val="2B2620"/>
          <w:sz w:val="22"/>
          <w:szCs w:val="22"/>
          <w:rtl/>
        </w:rPr>
        <w:t xml:space="preserve">يعالج السبب لا العرض فقط: بدل الاكتفاء بالدعم المادي، يستهدف جذر التصدع الأسري.</w:t>
      </w:r>
    </w:p>
    <w:p>
      <w:pPr>
        <w:pStyle w:val="ListParagraph"/>
        <w:numPr>
          <w:ilvl w:val="0"/>
          <w:numId w:val="2"/>
        </w:numPr>
        <w:bidi/>
        <w:spacing w:after="100"/>
        <w:jc w:val="right"/>
      </w:pPr>
      <w:r>
        <w:rPr>
          <w:rFonts w:ascii="Arial" w:cs="Arial" w:eastAsia="Arial" w:hAnsi="Arial"/>
          <w:color w:val="2B2620"/>
          <w:sz w:val="22"/>
          <w:szCs w:val="22"/>
          <w:rtl/>
        </w:rPr>
        <w:t xml:space="preserve">يبني قدرة محلية مستدامة عبر "سفراء السند" بدل الاعتماد الدائم على فريق خارجي.</w:t>
      </w:r>
    </w:p>
    <w:p>
      <w:pPr>
        <w:pStyle w:val="ListParagraph"/>
        <w:numPr>
          <w:ilvl w:val="0"/>
          <w:numId w:val="2"/>
        </w:numPr>
        <w:bidi/>
        <w:spacing w:after="100"/>
        <w:jc w:val="right"/>
      </w:pPr>
      <w:r>
        <w:rPr>
          <w:rFonts w:ascii="Arial" w:cs="Arial" w:eastAsia="Arial" w:hAnsi="Arial"/>
          <w:color w:val="2B2620"/>
          <w:sz w:val="22"/>
          <w:szCs w:val="22"/>
          <w:rtl/>
        </w:rPr>
        <w:t xml:space="preserve">يشرك كل أطراف المعادلة: الرجال، والأسر، والصبايا والقيادات النسوية معاً، لا فئة واحدة بمعزل عن الأخرى.</w:t>
      </w:r>
    </w:p>
    <w:p>
      <w:pPr>
        <w:pStyle w:val="ListParagraph"/>
        <w:numPr>
          <w:ilvl w:val="0"/>
          <w:numId w:val="2"/>
        </w:numPr>
        <w:bidi/>
        <w:spacing w:after="100"/>
        <w:jc w:val="right"/>
      </w:pPr>
      <w:r>
        <w:rPr>
          <w:rFonts w:ascii="Arial" w:cs="Arial" w:eastAsia="Arial" w:hAnsi="Arial"/>
          <w:color w:val="2B2620"/>
          <w:sz w:val="22"/>
          <w:szCs w:val="22"/>
          <w:rtl/>
        </w:rPr>
        <w:t xml:space="preserve">قابل للتنفيذ فوراً وبتكلفة منخفضة جداً مقارنة بأثره المرتقب (4,000 دولار مقابل وصول يتجاوز 50,000 شخص).</w:t>
      </w:r>
    </w:p>
    <w:p>
      <w:pPr>
        <w:pStyle w:val="Heading2"/>
        <w:bidi/>
        <w:spacing w:after="140" w:before="260"/>
        <w:jc w:val="right"/>
      </w:pPr>
      <w:r>
        <w:rPr>
          <w:rFonts w:ascii="Arial" w:cs="Arial" w:eastAsia="Arial" w:hAnsi="Arial"/>
          <w:b/>
          <w:bCs/>
          <w:color w:val="B95B3C"/>
          <w:sz w:val="26"/>
          <w:szCs w:val="26"/>
          <w:rtl/>
        </w:rPr>
        <w:t xml:space="preserve">2.3 مسارات التدخل الثلاثة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800"/>
      </w:tblGrid>
      <w:tr>
        <w:trPr>
          <w:tblHeader/>
        </w:trPr>
        <w:tc>
          <w:tcPr>
            <w:tcW w:type="dxa" w:w="5600"/>
            <w:shd w:fill="B95B3C"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الوصف</w:t>
            </w:r>
          </w:p>
        </w:tc>
        <w:tc>
          <w:tcPr>
            <w:tcW w:type="dxa" w:w="2200"/>
            <w:shd w:fill="B95B3C"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الفئة المستهدفة</w:t>
            </w:r>
          </w:p>
        </w:tc>
        <w:tc>
          <w:tcPr>
            <w:tcW w:type="dxa" w:w="1800"/>
            <w:shd w:fill="B95B3C"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المسار</w:t>
            </w:r>
          </w:p>
        </w:tc>
      </w:tr>
      <w:tr>
        <w:tc>
          <w:tcPr>
            <w:tcW w:type="dxa" w:w="56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مساحات نقاش مغلقة وآمنة لتبادل الخبرات، التعبير عن المشاعر دون خوف، وممارسة القيادة بالقدوة بدل القسوة أو الانسحاب.</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الرجال والشباب</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ديوان السند</w:t>
            </w:r>
          </w:p>
        </w:tc>
      </w:tr>
      <w:tr>
        <w:tc>
          <w:tcPr>
            <w:tcW w:type="dxa" w:w="56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جلسات إرشادية تفاعلية لمناقشة اتخاذ القرار المشترك، تخفيف التوتر اليومي، وحماية فضاء البيت من التصدع.</w:t>
            </w:r>
          </w:p>
        </w:tc>
        <w:tc>
          <w:tcPr>
            <w:tcW w:type="dxa" w:w="22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الأسر والعائلات</w:t>
            </w:r>
          </w:p>
        </w:tc>
        <w:tc>
          <w:tcPr>
            <w:tcW w:type="dxa" w:w="18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أعمدة البيت</w:t>
            </w:r>
          </w:p>
        </w:tc>
      </w:tr>
      <w:tr>
        <w:tc>
          <w:tcPr>
            <w:tcW w:type="dxa" w:w="56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مسارات حوارية تشرك الصبايا في صياغة مفاهيم الدعم المتبادل، وتصحيح الصور النمطية، وبناء شبكات مساندة مستدامة.</w:t>
            </w:r>
          </w:p>
        </w:tc>
        <w:tc>
          <w:tcPr>
            <w:tcW w:type="dxa" w:w="22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الصبايا والقيادات النسوية</w:t>
            </w:r>
          </w:p>
        </w:tc>
        <w:tc>
          <w:tcPr>
            <w:tcW w:type="dxa" w:w="18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شريكات الوعي</w:t>
            </w:r>
          </w:p>
        </w:tc>
      </w:tr>
    </w:tbl>
    <w:p>
      <w:pPr>
        <w:pStyle w:val="Heading2"/>
        <w:bidi/>
        <w:spacing w:after="140" w:before="260"/>
        <w:jc w:val="right"/>
      </w:pPr>
      <w:r>
        <w:rPr>
          <w:rFonts w:ascii="Arial" w:cs="Arial" w:eastAsia="Arial" w:hAnsi="Arial"/>
          <w:b/>
          <w:bCs/>
          <w:color w:val="B95B3C"/>
          <w:sz w:val="26"/>
          <w:szCs w:val="26"/>
          <w:rtl/>
        </w:rPr>
        <w:t xml:space="preserve">2.4 الذراع الرقمية</w:t>
      </w:r>
    </w:p>
    <w:p>
      <w:pPr>
        <w:bidi/>
        <w:spacing w:after="160" w:line="336"/>
        <w:jc w:val="right"/>
      </w:pPr>
      <w:r>
        <w:rPr>
          <w:rFonts w:ascii="Arial" w:cs="Arial" w:eastAsia="Arial" w:hAnsi="Arial"/>
          <w:sz w:val="22"/>
          <w:szCs w:val="22"/>
          <w:rtl/>
        </w:rPr>
        <w:t xml:space="preserve">حملة توعوية رقمية تنتج 10 مقاطع فيديو قصيرة تحاكي تفاصيل الحياة اليومية في الخيام بلغة إنسانية قريبة، بهدف توسيع الأثر إلى ما هو أبعد من المستفيدين المباشرين، لتصل إلى أكثر من 50,000 شخص.</w:t>
      </w:r>
    </w:p>
    <w:p>
      <w:pPr>
        <w:pStyle w:val="Heading2"/>
        <w:bidi/>
        <w:spacing w:after="140" w:before="260"/>
        <w:jc w:val="right"/>
      </w:pPr>
      <w:r>
        <w:rPr>
          <w:rFonts w:ascii="Arial" w:cs="Arial" w:eastAsia="Arial" w:hAnsi="Arial"/>
          <w:b/>
          <w:bCs/>
          <w:color w:val="B95B3C"/>
          <w:sz w:val="26"/>
          <w:szCs w:val="26"/>
          <w:rtl/>
        </w:rPr>
        <w:t xml:space="preserve">2.5 الأهداف ومؤشرات الأثر</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900"/>
        <w:gridCol w:w="3700"/>
      </w:tblGrid>
      <w:tr>
        <w:trPr>
          <w:tblHeader/>
        </w:trPr>
        <w:tc>
          <w:tcPr>
            <w:tcW w:type="dxa" w:w="5900"/>
            <w:shd w:fill="B95B3C"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مؤشر الأثر المستهدف</w:t>
            </w:r>
          </w:p>
        </w:tc>
        <w:tc>
          <w:tcPr>
            <w:tcW w:type="dxa" w:w="3700"/>
            <w:shd w:fill="B95B3C"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الهدف الاستراتيجي</w:t>
            </w:r>
          </w:p>
        </w:tc>
      </w:tr>
      <w:tr>
        <w:tc>
          <w:tcPr>
            <w:tcW w:type="dxa" w:w="59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استفادة مباشرة لـ 500 فرد عبر 12 جلسة وجاهية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تخفيف الضغط الأسري</w:t>
            </w:r>
          </w:p>
        </w:tc>
      </w:tr>
      <w:tr>
        <w:tc>
          <w:tcPr>
            <w:tcW w:type="dxa" w:w="59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تدريب وتخريج 10 سفراء شباب لاستدامة الحوار</w:t>
            </w:r>
          </w:p>
        </w:tc>
        <w:tc>
          <w:tcPr>
            <w:tcW w:type="dxa" w:w="37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بناء وعي الشباب</w:t>
            </w:r>
          </w:p>
        </w:tc>
      </w:tr>
      <w:tr>
        <w:tc>
          <w:tcPr>
            <w:tcW w:type="dxa" w:w="59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أكثر من 50,000 وصول تفاعلي رقمي</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صناعة محتوى داعم</w:t>
            </w:r>
          </w:p>
        </w:tc>
      </w:tr>
      <w:tr>
        <w:tc>
          <w:tcPr>
            <w:tcW w:type="dxa" w:w="59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نسبة رضا وتحوّل سلوكي 75% فأكثر (قياس قبلي/بعدي)</w:t>
            </w:r>
          </w:p>
        </w:tc>
        <w:tc>
          <w:tcPr>
            <w:tcW w:type="dxa" w:w="37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التحول السلوكي</w:t>
            </w:r>
          </w:p>
        </w:tc>
      </w:tr>
    </w:tbl>
    <w:p>
      <w:pPr>
        <w:pStyle w:val="Heading1"/>
        <w:pBdr>
          <w:bottom w:val="single" w:color="B95B3C" w:sz="12" w:space="6"/>
        </w:pBdr>
        <w:bidi/>
        <w:spacing w:after="200" w:before="380"/>
        <w:jc w:val="right"/>
      </w:pPr>
      <w:r>
        <w:rPr>
          <w:rFonts w:ascii="Arial" w:cs="Arial" w:eastAsia="Arial" w:hAnsi="Arial"/>
          <w:b/>
          <w:bCs/>
          <w:color w:val="2B2620"/>
          <w:sz w:val="32"/>
          <w:szCs w:val="32"/>
          <w:rtl/>
        </w:rPr>
        <w:t xml:space="preserve">3. مراحل التنفيذ (8 أسابيع)</w:t>
      </w:r>
    </w:p>
    <w:p>
      <w:pPr>
        <w:pStyle w:val="Heading2"/>
        <w:bidi/>
        <w:spacing w:after="140" w:before="260"/>
        <w:jc w:val="right"/>
      </w:pPr>
      <w:r>
        <w:rPr>
          <w:rFonts w:ascii="Arial" w:cs="Arial" w:eastAsia="Arial" w:hAnsi="Arial"/>
          <w:b/>
          <w:bCs/>
          <w:color w:val="B95B3C"/>
          <w:sz w:val="26"/>
          <w:szCs w:val="26"/>
          <w:rtl/>
        </w:rPr>
        <w:t xml:space="preserve">المرحلة الأولى — التأسيس والتهيئة (الأسبوع 1-2)</w:t>
      </w:r>
    </w:p>
    <w:p>
      <w:pPr>
        <w:bidi/>
        <w:spacing w:after="160" w:line="336"/>
        <w:jc w:val="right"/>
      </w:pPr>
      <w:r>
        <w:rPr>
          <w:rFonts w:ascii="Arial" w:cs="Arial" w:eastAsia="Arial" w:hAnsi="Arial"/>
          <w:sz w:val="22"/>
          <w:szCs w:val="22"/>
          <w:rtl/>
        </w:rPr>
        <w:t xml:space="preserve">تشكيل فريق العمل الميداني، إعداد أدلة التدريب والمحتوى، وتحديد الفئات المستهدفة ومواقع اللقاءات الآمنة.</w:t>
      </w:r>
    </w:p>
    <w:p>
      <w:pPr>
        <w:pStyle w:val="Heading2"/>
        <w:bidi/>
        <w:spacing w:after="140" w:before="260"/>
        <w:jc w:val="right"/>
      </w:pPr>
      <w:r>
        <w:rPr>
          <w:rFonts w:ascii="Arial" w:cs="Arial" w:eastAsia="Arial" w:hAnsi="Arial"/>
          <w:b/>
          <w:bCs/>
          <w:color w:val="B95B3C"/>
          <w:sz w:val="26"/>
          <w:szCs w:val="26"/>
          <w:rtl/>
        </w:rPr>
        <w:t xml:space="preserve">المرحلة الثانية — التنفيذ والتفاعل (الأسبوع 3-6)</w:t>
      </w:r>
    </w:p>
    <w:p>
      <w:pPr>
        <w:bidi/>
        <w:spacing w:after="160" w:line="336"/>
        <w:jc w:val="right"/>
      </w:pPr>
      <w:r>
        <w:rPr>
          <w:rFonts w:ascii="Arial" w:cs="Arial" w:eastAsia="Arial" w:hAnsi="Arial"/>
          <w:sz w:val="22"/>
          <w:szCs w:val="22"/>
          <w:rtl/>
        </w:rPr>
        <w:t xml:space="preserve">إطلاق جلسات "ديوان السند" و"أعمدة البيت"، بدء بث محتوى الحملة الرقمية (10 مقاطع قصيرة)، وتنظيم ورش "شريكات الوعي".</w:t>
      </w:r>
    </w:p>
    <w:p>
      <w:pPr>
        <w:pStyle w:val="Heading2"/>
        <w:bidi/>
        <w:spacing w:after="140" w:before="260"/>
        <w:jc w:val="right"/>
      </w:pPr>
      <w:r>
        <w:rPr>
          <w:rFonts w:ascii="Arial" w:cs="Arial" w:eastAsia="Arial" w:hAnsi="Arial"/>
          <w:b/>
          <w:bCs/>
          <w:color w:val="B95B3C"/>
          <w:sz w:val="26"/>
          <w:szCs w:val="26"/>
          <w:rtl/>
        </w:rPr>
        <w:t xml:space="preserve">المرحلة الثالثة — التقييم والتوثيق (الأسبوع 7)</w:t>
      </w:r>
    </w:p>
    <w:p>
      <w:pPr>
        <w:bidi/>
        <w:spacing w:after="160" w:line="336"/>
        <w:jc w:val="right"/>
      </w:pPr>
      <w:r>
        <w:rPr>
          <w:rFonts w:ascii="Arial" w:cs="Arial" w:eastAsia="Arial" w:hAnsi="Arial"/>
          <w:sz w:val="22"/>
          <w:szCs w:val="22"/>
          <w:rtl/>
        </w:rPr>
        <w:t xml:space="preserve">جمع استبيانات القياس القبلي والبعدي، تحليل نسب الأثر، وتوثيق قصص النجاح الميدانية.</w:t>
      </w:r>
    </w:p>
    <w:p>
      <w:pPr>
        <w:pStyle w:val="Heading2"/>
        <w:bidi/>
        <w:spacing w:after="140" w:before="260"/>
        <w:jc w:val="right"/>
      </w:pPr>
      <w:r>
        <w:rPr>
          <w:rFonts w:ascii="Arial" w:cs="Arial" w:eastAsia="Arial" w:hAnsi="Arial"/>
          <w:b/>
          <w:bCs/>
          <w:color w:val="B95B3C"/>
          <w:sz w:val="26"/>
          <w:szCs w:val="26"/>
          <w:rtl/>
        </w:rPr>
        <w:t xml:space="preserve">المرحلة الرابعة — الختام والاستدامة (الأسبوع 8)</w:t>
      </w:r>
    </w:p>
    <w:p>
      <w:pPr>
        <w:bidi/>
        <w:spacing w:after="160" w:line="336"/>
        <w:jc w:val="right"/>
      </w:pPr>
      <w:r>
        <w:rPr>
          <w:rFonts w:ascii="Arial" w:cs="Arial" w:eastAsia="Arial" w:hAnsi="Arial"/>
          <w:sz w:val="22"/>
          <w:szCs w:val="22"/>
          <w:rtl/>
        </w:rPr>
        <w:t xml:space="preserve">تخريج الدفعة الأولى من "سفراء السند"، تسليم التقرير الختامي للشركاء، وتسليم الراية للمجتمع المحلي لمواصلة الأثر ذاتياً.</w:t>
      </w:r>
    </w:p>
    <w:p>
      <w:pPr>
        <w:pStyle w:val="Heading1"/>
        <w:pBdr>
          <w:bottom w:val="single" w:color="B95B3C" w:sz="12" w:space="6"/>
        </w:pBdr>
        <w:bidi/>
        <w:spacing w:after="200" w:before="380"/>
        <w:jc w:val="right"/>
      </w:pPr>
      <w:r>
        <w:rPr>
          <w:rFonts w:ascii="Arial" w:cs="Arial" w:eastAsia="Arial" w:hAnsi="Arial"/>
          <w:b/>
          <w:bCs/>
          <w:color w:val="2B2620"/>
          <w:sz w:val="32"/>
          <w:szCs w:val="32"/>
          <w:rtl/>
        </w:rPr>
        <w:t xml:space="preserve">4. الميزانية (4,000 دولار أمريكي)</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200"/>
      </w:tblGrid>
      <w:tr>
        <w:trPr>
          <w:tblHeader/>
        </w:trPr>
        <w:tc>
          <w:tcPr>
            <w:tcW w:type="dxa" w:w="1600"/>
            <w:shd w:fill="B95B3C"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التكلفة</w:t>
            </w:r>
          </w:p>
        </w:tc>
        <w:tc>
          <w:tcPr>
            <w:tcW w:type="dxa" w:w="4800"/>
            <w:shd w:fill="B95B3C"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التفاصيل</w:t>
            </w:r>
          </w:p>
        </w:tc>
        <w:tc>
          <w:tcPr>
            <w:tcW w:type="dxa" w:w="3200"/>
            <w:shd w:fill="B95B3C"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tl/>
              </w:rPr>
              <w:t xml:space="preserve">البند</w:t>
            </w:r>
          </w:p>
        </w:tc>
      </w:tr>
      <w:tr>
        <w:tc>
          <w:tcPr>
            <w:tcW w:type="dxa" w:w="16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1,600 $</w:t>
            </w:r>
          </w:p>
        </w:tc>
        <w:tc>
          <w:tcPr>
            <w:tcW w:type="dxa" w:w="48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مكافآت الميسرين، تجهيز المساحات الآمنة، وضيافة 12 جلسة</w:t>
            </w:r>
          </w:p>
        </w:tc>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التيسير الميداني واللقاءات</w:t>
            </w:r>
          </w:p>
        </w:tc>
      </w:tr>
      <w:tr>
        <w:tc>
          <w:tcPr>
            <w:tcW w:type="dxa" w:w="16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1,200 $</w:t>
            </w:r>
          </w:p>
        </w:tc>
        <w:tc>
          <w:tcPr>
            <w:tcW w:type="dxa" w:w="48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تصوير وإنتاج 10 مقاطع فيديو قصيرة، تصاميم بصرية، وترويج</w:t>
            </w:r>
          </w:p>
        </w:tc>
        <w:tc>
          <w:tcPr>
            <w:tcW w:type="dxa" w:w="32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إنتاج الحملة الرقمية</w:t>
            </w:r>
          </w:p>
        </w:tc>
      </w:tr>
      <w:tr>
        <w:tc>
          <w:tcPr>
            <w:tcW w:type="dxa" w:w="16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800 $</w:t>
            </w:r>
          </w:p>
        </w:tc>
        <w:tc>
          <w:tcPr>
            <w:tcW w:type="dxa" w:w="48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طباعة الأدلة الإرشادية، بطاقات التوعية، وتأمين التنقلات الميدانية</w:t>
            </w:r>
          </w:p>
        </w:tc>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المواد التدريبية واللوجستيات</w:t>
            </w:r>
          </w:p>
        </w:tc>
      </w:tr>
      <w:tr>
        <w:tc>
          <w:tcPr>
            <w:tcW w:type="dxa" w:w="16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400 $</w:t>
            </w:r>
          </w:p>
        </w:tc>
        <w:tc>
          <w:tcPr>
            <w:tcW w:type="dxa" w:w="48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أدوات القياس والتقييم، توثيق الأثر، ومخصصات الطوارئ الميدانية</w:t>
            </w:r>
          </w:p>
        </w:tc>
        <w:tc>
          <w:tcPr>
            <w:tcW w:type="dxa" w:w="3200"/>
            <w:shd w:fill="F4EDE4" w:val="clear"/>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التقييم والتوثيق والطوارئ</w:t>
            </w:r>
          </w:p>
        </w:tc>
      </w:tr>
      <w:tr>
        <w:tc>
          <w:tcPr>
            <w:tcW w:type="dxa" w:w="16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4,000 $</w:t>
            </w:r>
          </w:p>
        </w:tc>
        <w:tc>
          <w:tcPr>
            <w:tcW w:type="dxa" w:w="48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ميزانية متكاملة وقابلة للتنفيذ الفوري</w:t>
            </w:r>
          </w:p>
        </w:tc>
        <w:tc>
          <w:tcPr>
            <w:tcW w:type="dxa" w:w="3200"/>
            <w:tcMar>
              <w:top w:type="dxa" w:w="100"/>
              <w:left w:type="dxa" w:w="120"/>
              <w:bottom w:type="dxa" w:w="100"/>
              <w:right w:type="dxa" w:w="120"/>
            </w:tcMar>
            <w:vAlign w:val="center"/>
          </w:tcPr>
          <w:p>
            <w:pPr>
              <w:bidi/>
              <w:jc w:val="right"/>
            </w:pPr>
            <w:r>
              <w:rPr>
                <w:rFonts w:ascii="Arial" w:cs="Arial" w:eastAsia="Arial" w:hAnsi="Arial"/>
                <w:b w:val="false"/>
                <w:bCs w:val="false"/>
                <w:color w:val="2B2620"/>
                <w:sz w:val="20"/>
                <w:szCs w:val="20"/>
                <w:rtl/>
              </w:rPr>
              <w:t xml:space="preserve">المجموع</w:t>
            </w:r>
          </w:p>
        </w:tc>
      </w:tr>
    </w:tbl>
    <w:p>
      <w:pPr>
        <w:bidi/>
        <w:spacing w:after="160" w:line="336"/>
        <w:jc w:val="right"/>
      </w:pPr>
      <w:r>
        <w:rPr>
          <w:rFonts w:ascii="Arial" w:cs="Arial" w:eastAsia="Arial" w:hAnsi="Arial"/>
          <w:i/>
          <w:iCs/>
          <w:sz w:val="22"/>
          <w:szCs w:val="22"/>
          <w:rtl/>
        </w:rPr>
        <w:t xml:space="preserve">ملاحظة على الشفافية: كل بند مرتبط مباشرة بمخرج ميداني ملموس (جلسة، فيديو، دليل، تقرير) — لا توجد بنود إدارية غير مبررة، وهو ما يمنح الميزانية كفاءة تنفيذية عالية.</w:t>
      </w:r>
    </w:p>
    <w:p>
      <w:pPr>
        <w:pStyle w:val="Heading1"/>
        <w:pBdr>
          <w:bottom w:val="single" w:color="B95B3C" w:sz="12" w:space="6"/>
        </w:pBdr>
        <w:bidi/>
        <w:spacing w:after="200" w:before="380"/>
        <w:jc w:val="right"/>
      </w:pPr>
      <w:r>
        <w:rPr>
          <w:rFonts w:ascii="Arial" w:cs="Arial" w:eastAsia="Arial" w:hAnsi="Arial"/>
          <w:b/>
          <w:bCs/>
          <w:color w:val="2B2620"/>
          <w:sz w:val="32"/>
          <w:szCs w:val="32"/>
          <w:rtl/>
        </w:rPr>
        <w:t xml:space="preserve">5. الاستدامة وإدارة المخاطر</w:t>
      </w:r>
    </w:p>
    <w:p>
      <w:pPr>
        <w:pStyle w:val="Heading2"/>
        <w:bidi/>
        <w:spacing w:after="140" w:before="260"/>
        <w:jc w:val="right"/>
      </w:pPr>
      <w:r>
        <w:rPr>
          <w:rFonts w:ascii="Arial" w:cs="Arial" w:eastAsia="Arial" w:hAnsi="Arial"/>
          <w:b/>
          <w:bCs/>
          <w:color w:val="B95B3C"/>
          <w:sz w:val="26"/>
          <w:szCs w:val="26"/>
          <w:rtl/>
        </w:rPr>
        <w:t xml:space="preserve">5.1 آلية الاستدامة</w:t>
      </w:r>
    </w:p>
    <w:p>
      <w:pPr>
        <w:pStyle w:val="ListParagraph"/>
        <w:numPr>
          <w:ilvl w:val="0"/>
          <w:numId w:val="2"/>
        </w:numPr>
        <w:bidi/>
        <w:spacing w:after="100"/>
        <w:jc w:val="right"/>
      </w:pPr>
      <w:r>
        <w:rPr>
          <w:rFonts w:ascii="Arial" w:cs="Arial" w:eastAsia="Arial" w:hAnsi="Arial"/>
          <w:color w:val="2B2620"/>
          <w:sz w:val="22"/>
          <w:szCs w:val="22"/>
          <w:rtl/>
        </w:rPr>
        <w:t xml:space="preserve">بناء قدرة محلية دائمة: تخريج 10 "سفراء سند" مدرَّبين قادرين على مواصلة الجلسات والحوار بعد انتهاء التمويل المباشر، بما يحوّل المبادرة من نشاط مؤقت إلى ثقافة متجذرة في المجتمع.</w:t>
      </w:r>
    </w:p>
    <w:p>
      <w:pPr>
        <w:pStyle w:val="ListParagraph"/>
        <w:numPr>
          <w:ilvl w:val="0"/>
          <w:numId w:val="2"/>
        </w:numPr>
        <w:bidi/>
        <w:spacing w:after="100"/>
        <w:jc w:val="right"/>
      </w:pPr>
      <w:r>
        <w:rPr>
          <w:rFonts w:ascii="Arial" w:cs="Arial" w:eastAsia="Arial" w:hAnsi="Arial"/>
          <w:color w:val="2B2620"/>
          <w:sz w:val="22"/>
          <w:szCs w:val="22"/>
          <w:rtl/>
        </w:rPr>
        <w:t xml:space="preserve">لامركزية التنفيذ: الاعتماد على قادة محليين في كل منطقة يضمن استمرار النشاط حتى في حال انقطاع التواصل مع الفريق المركزي.</w:t>
      </w:r>
    </w:p>
    <w:p>
      <w:pPr>
        <w:pStyle w:val="ListParagraph"/>
        <w:numPr>
          <w:ilvl w:val="0"/>
          <w:numId w:val="2"/>
        </w:numPr>
        <w:bidi/>
        <w:spacing w:after="100"/>
        <w:jc w:val="right"/>
      </w:pPr>
      <w:r>
        <w:rPr>
          <w:rFonts w:ascii="Arial" w:cs="Arial" w:eastAsia="Arial" w:hAnsi="Arial"/>
          <w:color w:val="2B2620"/>
          <w:sz w:val="22"/>
          <w:szCs w:val="22"/>
          <w:rtl/>
        </w:rPr>
        <w:t xml:space="preserve">أصول رقمية باقية: مقاطع الحملة والأدلة التدريبية تبقى متاحة ومُعاد استخدامها بعد نهاية المشروع دون تكلفة إضافية.</w:t>
      </w:r>
    </w:p>
    <w:p>
      <w:pPr>
        <w:pStyle w:val="ListParagraph"/>
        <w:numPr>
          <w:ilvl w:val="0"/>
          <w:numId w:val="2"/>
        </w:numPr>
        <w:bidi/>
        <w:spacing w:after="100"/>
        <w:jc w:val="right"/>
      </w:pPr>
      <w:r>
        <w:rPr>
          <w:rFonts w:ascii="Arial" w:cs="Arial" w:eastAsia="Arial" w:hAnsi="Arial"/>
          <w:color w:val="2B2620"/>
          <w:sz w:val="22"/>
          <w:szCs w:val="22"/>
          <w:rtl/>
        </w:rPr>
        <w:t xml:space="preserve">شراكات ممتدة: المبادرة مصممة كنقطة انطلاق لشراكة استراتيجية طويلة الأمد، لا كتمويل عابر لمرة واحدة.</w:t>
      </w:r>
    </w:p>
    <w:p>
      <w:pPr>
        <w:pStyle w:val="Heading2"/>
        <w:bidi/>
        <w:spacing w:after="140" w:before="260"/>
        <w:jc w:val="right"/>
      </w:pPr>
      <w:r>
        <w:rPr>
          <w:rFonts w:ascii="Arial" w:cs="Arial" w:eastAsia="Arial" w:hAnsi="Arial"/>
          <w:b/>
          <w:bCs/>
          <w:color w:val="B95B3C"/>
          <w:sz w:val="26"/>
          <w:szCs w:val="26"/>
          <w:rtl/>
        </w:rPr>
        <w:t xml:space="preserve">5.2 المرونة الميدانية وإدارة المخاطر</w:t>
      </w:r>
    </w:p>
    <w:p>
      <w:pPr>
        <w:bidi/>
        <w:spacing w:after="160" w:line="336"/>
        <w:jc w:val="right"/>
      </w:pPr>
      <w:r>
        <w:rPr>
          <w:rFonts w:ascii="Arial" w:cs="Arial" w:eastAsia="Arial" w:hAnsi="Arial"/>
          <w:sz w:val="22"/>
          <w:szCs w:val="22"/>
          <w:rtl/>
        </w:rPr>
        <w:t xml:space="preserve">تدرك المبادرة تقلب الظروف الميدانية في غزة، لذلك وُضعت بدائل جاهزة مسبقاً:</w:t>
      </w:r>
    </w:p>
    <w:p>
      <w:pPr>
        <w:pStyle w:val="ListParagraph"/>
        <w:numPr>
          <w:ilvl w:val="0"/>
          <w:numId w:val="2"/>
        </w:numPr>
        <w:bidi/>
        <w:spacing w:after="100"/>
        <w:jc w:val="right"/>
      </w:pPr>
      <w:r>
        <w:rPr>
          <w:rFonts w:ascii="Arial" w:cs="Arial" w:eastAsia="Arial" w:hAnsi="Arial"/>
          <w:color w:val="2B2620"/>
          <w:sz w:val="22"/>
          <w:szCs w:val="22"/>
          <w:rtl/>
        </w:rPr>
        <w:t xml:space="preserve">البديل الرقمي الآمن: التحول الفوري إلى مجموعات تراسل مغلقة أو جلسات مصغّرة (فردية/عائلية) عند تعذر اللقاءات الجماعية.</w:t>
      </w:r>
    </w:p>
    <w:p>
      <w:pPr>
        <w:pStyle w:val="ListParagraph"/>
        <w:numPr>
          <w:ilvl w:val="0"/>
          <w:numId w:val="2"/>
        </w:numPr>
        <w:bidi/>
        <w:spacing w:after="100"/>
        <w:jc w:val="right"/>
      </w:pPr>
      <w:r>
        <w:rPr>
          <w:rFonts w:ascii="Arial" w:cs="Arial" w:eastAsia="Arial" w:hAnsi="Arial"/>
          <w:color w:val="2B2620"/>
          <w:sz w:val="22"/>
          <w:szCs w:val="22"/>
          <w:rtl/>
        </w:rPr>
        <w:t xml:space="preserve">اللامركزية كخط دفاع: استمرار العمل عبر السفراء المحليين حتى في أوقات الانقطاع أو التصعيد الأمني.</w:t>
      </w:r>
    </w:p>
    <w:p>
      <w:pPr>
        <w:pStyle w:val="Heading1"/>
        <w:pBdr>
          <w:bottom w:val="single" w:color="B95B3C" w:sz="12" w:space="6"/>
        </w:pBdr>
        <w:bidi/>
        <w:spacing w:after="200" w:before="380"/>
        <w:jc w:val="right"/>
      </w:pPr>
      <w:r>
        <w:rPr>
          <w:rFonts w:ascii="Arial" w:cs="Arial" w:eastAsia="Arial" w:hAnsi="Arial"/>
          <w:b/>
          <w:bCs/>
          <w:color w:val="2B2620"/>
          <w:sz w:val="32"/>
          <w:szCs w:val="32"/>
          <w:rtl/>
        </w:rPr>
        <w:t xml:space="preserve">6. دعوة الشراكة</w:t>
      </w:r>
    </w:p>
    <w:p>
      <w:pPr>
        <w:bidi/>
        <w:spacing w:after="160" w:line="336"/>
        <w:jc w:val="right"/>
      </w:pPr>
      <w:r>
        <w:rPr>
          <w:rFonts w:ascii="Arial" w:cs="Arial" w:eastAsia="Arial" w:hAnsi="Arial"/>
          <w:sz w:val="22"/>
          <w:szCs w:val="22"/>
          <w:rtl/>
        </w:rPr>
        <w:t xml:space="preserve">لا تبحث "سند وعمار" عن تمويل عابر، بل عن شركاء يؤمنون أن الاستثمار في الإنسان وبناء وعيه هو الضمانة الحقيقية لصمود المجتمع. ندعوكم للمساهمة عبر: تمويل الميزانية كاملة أو جزئياً، تبني أحد محاور الحملة الرقمية، أو تقديم الدعم الاستشاري والفني.</w:t>
      </w:r>
    </w:p>
    <w:p>
      <w:pPr>
        <w:pBdr>
          <w:right w:val="single" w:color="B95B3C" w:sz="18" w:space="8"/>
        </w:pBdr>
        <w:shd w:fill="F4EDE4" w:val="clear"/>
        <w:bidi/>
        <w:spacing w:after="200" w:before="120"/>
        <w:ind w:left="400" w:right="400"/>
        <w:jc w:val="right"/>
      </w:pPr>
      <w:r>
        <w:rPr>
          <w:rFonts w:ascii="Arial" w:cs="Arial" w:eastAsia="Arial" w:hAnsi="Arial"/>
          <w:i/>
          <w:iCs/>
          <w:color w:val="2B2620"/>
          <w:sz w:val="22"/>
          <w:szCs w:val="22"/>
          <w:rtl/>
        </w:rPr>
        <w:t xml:space="preserve">خيط واحد يربط البيوت ببعضها — شاركونا صناعة الأثر واستدامة الأمل.</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03"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6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2026-08-14T14:20:53.644Z</dcterms:created>
  <dcterms:modified xsi:type="dcterms:W3CDTF">2026-08-14T14:20:53.648Z</dcterms:modified>
</cp:coreProperties>
</file>

<file path=docProps/custom.xml><?xml version="1.0" encoding="utf-8"?>
<Properties xmlns="http://schemas.openxmlformats.org/officeDocument/2006/custom-properties" xmlns:vt="http://schemas.openxmlformats.org/officeDocument/2006/docPropsVTypes"/>
</file>