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FACTURE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EEAF6"/>
                <w:sz w:val="22"/>
                <w:szCs w:val="22"/>
              </w:rPr>
              <w:t xml:space="preserve">FAC-OSCAR-2026-005</w:t>
            </w:r>
            <w:r>
              <w:rPr>
                <w:rFonts w:ascii="Arial" w:cs="Arial" w:eastAsia="Arial" w:hAnsi="Arial"/>
                <w:color w:val="BBD0EA"/>
                <w:sz w:val="20"/>
                <w:szCs w:val="20"/>
              </w:rPr>
              <w:t xml:space="preserve">    |    OSCAR Fashion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auto" w:sz="4"/>
          <w:insideV w:val="single" w:color="auto" w:sz="4"/>
        </w:tblBorders>
      </w:tblPr>
      <w:tblGrid>
        <w:gridCol w:w="3100"/>
        <w:gridCol w:w="6646"/>
      </w:tblGrid>
      <w:tr>
        <w:tc>
          <w:tcPr>
            <w:tcW w:type="dxa" w:w="3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Facture N°</w:t>
            </w:r>
          </w:p>
        </w:tc>
        <w:tc>
          <w:tcPr>
            <w:tcW w:type="dxa" w:w="66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FAC-OSCAR-2026-005</w:t>
            </w:r>
          </w:p>
        </w:tc>
      </w:tr>
      <w:tr>
        <w:tc>
          <w:tcPr>
            <w:tcW w:type="dxa" w:w="3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Date d'émission</w:t>
            </w:r>
          </w:p>
        </w:tc>
        <w:tc>
          <w:tcPr>
            <w:tcW w:type="dxa" w:w="66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20/06/2026</w:t>
            </w:r>
          </w:p>
        </w:tc>
      </w:tr>
      <w:tr>
        <w:tc>
          <w:tcPr>
            <w:tcW w:type="dxa" w:w="3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Échéance de paiement</w:t>
            </w:r>
          </w:p>
        </w:tc>
        <w:tc>
          <w:tcPr>
            <w:tcW w:type="dxa" w:w="66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À la validation du jalon (sous 7 jours, cf. plan de paiement)</w:t>
            </w:r>
          </w:p>
        </w:tc>
      </w:tr>
      <w:tr>
        <w:tc>
          <w:tcPr>
            <w:tcW w:type="dxa" w:w="3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Référence projet</w:t>
            </w:r>
          </w:p>
        </w:tc>
        <w:tc>
          <w:tcPr>
            <w:tcW w:type="dxa" w:w="66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OSCAR Fashion - Plan de paiement v5.0 (700 000 DZD)</w:t>
            </w:r>
          </w:p>
        </w:tc>
      </w:tr>
      <w:tr>
        <w:tc>
          <w:tcPr>
            <w:tcW w:type="dxa" w:w="3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Objet</w:t>
            </w:r>
          </w:p>
        </w:tc>
        <w:tc>
          <w:tcPr>
            <w:tcW w:type="dxa" w:w="66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Jalon 5 (final) - Intégration, Déploiement &amp; Support</w:t>
            </w:r>
          </w:p>
        </w:tc>
      </w:tr>
      <w:tr>
        <w:tc>
          <w:tcPr>
            <w:tcW w:type="dxa" w:w="3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Nature</w:t>
            </w:r>
          </w:p>
        </w:tc>
        <w:tc>
          <w:tcPr>
            <w:tcW w:type="dxa" w:w="66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Facture de jalon - payable à la validation des livrables</w:t>
            </w:r>
          </w:p>
        </w:tc>
      </w:tr>
    </w:tbl>
    <w:p>
      <w:pPr>
        <w:pBdr>
          <w:bottom w:val="single" w:color="1F4E79" w:sz="10" w:space="3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Prestataire et Client</w:t>
      </w:r>
    </w:p>
    <w:tbl>
      <w:tblPr>
        <w:tblW w:type="dxa" w:w="9746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9"/>
                <w:szCs w:val="19"/>
              </w:rPr>
              <w:t xml:space="preserve">PRESTATAIRE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Nom / Raison sociale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Adresse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NIF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RC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NIS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Article d'imposition (AI)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RIB / Banque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Email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sonyexperiasola29@gmail.com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Téléphone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</w:tc>
        <w:tc>
          <w:tcPr>
            <w:tcW w:type="dxa" w:w="4873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9"/>
                <w:szCs w:val="19"/>
              </w:rPr>
              <w:t xml:space="preserve">CLIENT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Raison sociale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OSCAR Fashion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Adresse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NIF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RC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6"/>
                <w:szCs w:val="16"/>
              </w:rPr>
              <w:t xml:space="preserve">NIS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______________________________</w:t>
            </w:r>
          </w:p>
        </w:tc>
      </w:tr>
    </w:tbl>
    <w:p>
      <w:pPr>
        <w:pBdr>
          <w:bottom w:val="single" w:color="1F4E79" w:sz="10" w:space="3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Détail de la prestation</w:t>
      </w:r>
    </w:p>
    <w:tbl>
      <w:tblPr>
        <w:tblW w:type="dxa" w:w="9746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auto" w:sz="4"/>
          <w:insideV w:val="single" w:color="auto" w:sz="4"/>
        </w:tblBorders>
      </w:tblPr>
      <w:tblGrid>
        <w:gridCol w:w="700"/>
        <w:gridCol w:w="5946"/>
        <w:gridCol w:w="1500"/>
        <w:gridCol w:w="1600"/>
      </w:tblGrid>
      <w:tr>
        <w:trPr>
          <w:tblHeader/>
        </w:trPr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594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1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P.U. (DZD)</w:t>
            </w:r>
          </w:p>
        </w:tc>
        <w:tc>
          <w:tcPr>
            <w:tcW w:type="dxa" w:w="1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(DZD)</w:t>
            </w:r>
          </w:p>
        </w:tc>
      </w:tr>
      <w:tr>
        <w:tc>
          <w:tcPr>
            <w:tcW w:type="dxa" w:w="7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J5</w:t>
            </w:r>
          </w:p>
        </w:tc>
        <w:tc>
          <w:tcPr>
            <w:tcW w:type="dxa" w:w="59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Jalon 5 (final) - Intégration, Déploiement &amp; Support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Paiements réels (CIB/SATIM, Baridimob, COD) ; notifications de production (e-mail, SMS, push) ; déploiement VPS + SSL ; finalisations reportées ; tests, documentation et formation ; support post-livraison (2 semaines). (Jalons 5 et 6 fusionnés, détail ci-dessous.)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Livré et validé.</w:t>
            </w:r>
          </w:p>
        </w:tc>
        <w:tc>
          <w:tcPr>
            <w:tcW w:type="dxa" w:w="15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80 000,00</w:t>
            </w:r>
          </w:p>
        </w:tc>
        <w:tc>
          <w:tcPr>
            <w:tcW w:type="dxa" w:w="16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80 000,00</w:t>
            </w:r>
          </w:p>
        </w:tc>
      </w:tr>
    </w:tbl>
    <w:p>
      <w:pPr>
        <w:spacing w:before="60"/>
      </w:pPr>
    </w:p>
    <w:tbl>
      <w:tblPr>
        <w:tblW w:type="dxa" w:w="9746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auto" w:sz="4"/>
          <w:insideV w:val="single" w:color="auto" w:sz="4"/>
        </w:tblBorders>
      </w:tblPr>
      <w:tblGrid>
        <w:gridCol w:w="8146"/>
        <w:gridCol w:w="1600"/>
      </w:tblGrid>
      <w:tr>
        <w:tc>
          <w:tcPr>
            <w:tcW w:type="dxa" w:w="81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80 000,00 DZD</w:t>
            </w:r>
          </w:p>
        </w:tc>
      </w:tr>
      <w:tr>
        <w:tc>
          <w:tcPr>
            <w:tcW w:type="dxa" w:w="81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TVA (selon régime fiscal, à confirmer ; ne s'applique pas en cas de régime IFU)</w:t>
            </w:r>
          </w:p>
        </w:tc>
        <w:tc>
          <w:tcPr>
            <w:tcW w:type="dxa" w:w="16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14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à payer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80 000,00 DZD</w:t>
            </w:r>
          </w:p>
        </w:tc>
      </w:tr>
    </w:tbl>
    <w:p>
      <w:pPr>
        <w:pBdr>
          <w:top w:val="single" w:color="C9D3E0" w:sz="2"/>
          <w:bottom w:val="single" w:color="C9D3E0" w:sz="2"/>
          <w:left w:val="single" w:color="1F4E79" w:sz="18" w:space="6"/>
          <w:right w:val="single" w:color="C9D3E0" w:sz="2"/>
        </w:pBdr>
        <w:shd w:fill="DEEAF6" w:val="clear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6385C"/>
          <w:sz w:val="18"/>
          <w:szCs w:val="18"/>
        </w:rPr>
        <w:t xml:space="preserve">Arrêtée la présente facture à la somme de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quatre-vingt mille dinars algériens (80 000,00 DZD).</w:t>
      </w:r>
    </w:p>
    <w:p>
      <w:pPr>
        <w:pBdr>
          <w:bottom w:val="single" w:color="1F4E79" w:sz="10" w:space="3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Contenu du Jalon 5 (final)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olor w:val="16385C"/>
          <w:sz w:val="19"/>
          <w:szCs w:val="19"/>
        </w:rPr>
        <w:t xml:space="preserve">Intégration &amp; déploiement (prestataire)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Paiements : handlers CIB/SATIM, Baridimob, COD (+ remboursements et logs)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Câblage paiement web et mobile (WebView + deep linking de retour)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Notifications de production : e-mail (SMTP), SMS, push (Expo/FCM)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Finalisations : pagination catalogue, carnet d'adresses (web), PWA + Lighthouse &gt; 80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Déploiement VPS (Vendure + Next.js + Backoffice), Nginx + SSL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Tests E2E, documentation technique, guide admin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Soumission stores mobile (assets, captures, politique de confidentialité)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olor w:val="16385C"/>
          <w:sz w:val="19"/>
          <w:szCs w:val="19"/>
        </w:rPr>
        <w:t xml:space="preserve">Support post-livraison (2 semaines, prestataire)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Surveillance de la production et correction des bugs critiques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Optimisations mineures et support technique (e-mail/téléphone)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Formation de l'équipe admin (2 sessions) + transfert des accès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olor w:val="16385C"/>
          <w:sz w:val="19"/>
          <w:szCs w:val="19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Paiements CIB, Baridimob et COD fonctionnels (sandbox puis production)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E-mails envoyés après commande ; services déployés et accessibles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2 semaines sans bug critique ; équipe formée et autonome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olor w:val="16385C"/>
          <w:sz w:val="19"/>
          <w:szCs w:val="19"/>
        </w:rPr>
        <w:t xml:space="preserve">Prérequis à fournir par le client (bloquants)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Identifiants marchands CIB/SATIM et Baridimob (+ sandbox)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Compte fournisseur SMS algérien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Comptes Apple Developer et Google Play (+ clé de service)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7"/>
          <w:szCs w:val="17"/>
        </w:rPr>
        <w:t xml:space="preserve">Contenu produits (photos, descriptions) ; accès serveur de production (VPS, domaine)</w:t>
      </w:r>
    </w:p>
    <w:p>
      <w:pPr>
        <w:pBdr>
          <w:top w:val="single" w:color="E8B4AE" w:sz="2"/>
          <w:bottom w:val="single" w:color="E8B4AE" w:sz="2"/>
          <w:left w:val="single" w:color="C0392B" w:sz="18" w:space="6"/>
          <w:right w:val="single" w:color="E8B4AE" w:sz="2"/>
        </w:pBdr>
        <w:shd w:fill="FDE9E7" w:val="clear"/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922B21"/>
          <w:sz w:val="18"/>
          <w:szCs w:val="18"/>
        </w:rPr>
        <w:t xml:space="preserve">Hors périmètre, non inclus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génération de documents PDF (factures, bons de livraison) et synchronisation/intégration avec des systèmes externes (ERP, WMS, POS).</w:t>
      </w:r>
    </w:p>
    <w:p>
      <w:pPr>
        <w:pBdr>
          <w:bottom w:val="single" w:color="1F4E79" w:sz="10" w:space="3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Modalités de paiement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18"/>
          <w:szCs w:val="18"/>
        </w:rPr>
        <w:t xml:space="preserve">Mode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Virement bancaire ou espèces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i w:val="false"/>
          <w:iCs w:val="false"/>
          <w:color w:val="262626"/>
          <w:sz w:val="18"/>
          <w:szCs w:val="18"/>
        </w:rPr>
        <w:t xml:space="preserve">Délai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sous 7 jours après validation du jalon (démonstration des livrables + accord écrit du client)</w:t>
      </w:r>
    </w:p>
    <w:p>
      <w:pPr>
        <w:pBdr>
          <w:bottom w:val="single" w:color="1F4E79" w:sz="10" w:space="3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Situation du contrat - Plan de paiement v5.0 (total 700 000 DZD)</w:t>
      </w:r>
    </w:p>
    <w:tbl>
      <w:tblPr>
        <w:tblW w:type="dxa" w:w="9746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auto" w:sz="4"/>
          <w:insideV w:val="single" w:color="auto" w:sz="4"/>
        </w:tblBorders>
      </w:tblPr>
      <w:tblGrid>
        <w:gridCol w:w="4246"/>
        <w:gridCol w:w="2100"/>
        <w:gridCol w:w="3400"/>
      </w:tblGrid>
      <w:tr>
        <w:trPr>
          <w:tblHeader/>
        </w:trPr>
        <w:tc>
          <w:tcPr>
            <w:tcW w:type="dxa" w:w="424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Échéance</w:t>
            </w:r>
          </w:p>
        </w:tc>
        <w:tc>
          <w:tcPr>
            <w:tcW w:type="dxa" w:w="21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3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42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Acompte + Jalon 1 (Backend) + Jalon 2 (Backoffice)</w:t>
            </w:r>
          </w:p>
        </w:tc>
        <w:tc>
          <w:tcPr>
            <w:tcW w:type="dxa" w:w="2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340 000 DZD</w:t>
            </w:r>
          </w:p>
        </w:tc>
        <w:tc>
          <w:tcPr>
            <w:tcW w:type="dxa" w:w="34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Payé</w:t>
            </w:r>
          </w:p>
        </w:tc>
      </w:tr>
      <w:tr>
        <w:tc>
          <w:tcPr>
            <w:tcW w:type="dxa" w:w="42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Jalon 3 - Frontend</w:t>
            </w:r>
          </w:p>
        </w:tc>
        <w:tc>
          <w:tcPr>
            <w:tcW w:type="dxa" w:w="2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180 000 DZD</w:t>
            </w:r>
          </w:p>
        </w:tc>
        <w:tc>
          <w:tcPr>
            <w:tcW w:type="dxa" w:w="34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650A"/>
                <w:sz w:val="17"/>
                <w:szCs w:val="17"/>
              </w:rPr>
              <w:t xml:space="preserve">Facturé (FAC-OSCAR-2026-003)</w:t>
            </w:r>
          </w:p>
        </w:tc>
      </w:tr>
      <w:tr>
        <w:tc>
          <w:tcPr>
            <w:tcW w:type="dxa" w:w="42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Jalon 4 - Mobile</w:t>
            </w:r>
          </w:p>
        </w:tc>
        <w:tc>
          <w:tcPr>
            <w:tcW w:type="dxa" w:w="2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100 000 DZD</w:t>
            </w:r>
          </w:p>
        </w:tc>
        <w:tc>
          <w:tcPr>
            <w:tcW w:type="dxa" w:w="34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650A"/>
                <w:sz w:val="17"/>
                <w:szCs w:val="17"/>
              </w:rPr>
              <w:t xml:space="preserve">Facturé (FAC-OSCAR-2026-004)</w:t>
            </w:r>
          </w:p>
        </w:tc>
      </w:tr>
      <w:tr>
        <w:tc>
          <w:tcPr>
            <w:tcW w:type="dxa" w:w="4246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3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Jalon 5 (final) - Intégration, Déploiement &amp; Support</w:t>
            </w:r>
          </w:p>
        </w:tc>
        <w:tc>
          <w:tcPr>
            <w:tcW w:type="dxa" w:w="21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3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80 000 DZD</w:t>
            </w:r>
          </w:p>
        </w:tc>
        <w:tc>
          <w:tcPr>
            <w:tcW w:type="dxa" w:w="3400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FFF3D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650A"/>
                <w:sz w:val="17"/>
                <w:szCs w:val="17"/>
              </w:rPr>
              <w:t xml:space="preserve">Facturé (présente facture)</w:t>
            </w:r>
          </w:p>
        </w:tc>
      </w:tr>
    </w:tbl>
    <w:p>
      <w:pPr>
        <w:pBdr>
          <w:bottom w:val="single" w:color="1F4E79" w:sz="10" w:space="3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Signatures</w:t>
      </w:r>
    </w:p>
    <w:tbl>
      <w:tblPr>
        <w:tblW w:type="dxa" w:w="9746"/>
        <w:tblBorders>
          <w:top w:val="single" w:color="C9D3E0" w:sz="2"/>
          <w:left w:val="single" w:color="C9D3E0" w:sz="2"/>
          <w:bottom w:val="single" w:color="C9D3E0" w:sz="2"/>
          <w:right w:val="single" w:color="C9D3E0" w:sz="2"/>
          <w:insideH w:val="single" w:color="auto" w:sz="4"/>
          <w:insideV w:val="single" w:color="auto" w:sz="4"/>
        </w:tblBorders>
      </w:tblPr>
      <w:tblGrid>
        <w:gridCol w:w="2924"/>
        <w:gridCol w:w="2534"/>
        <w:gridCol w:w="2339"/>
        <w:gridCol w:w="1949"/>
      </w:tblGrid>
      <w:tr>
        <w:trPr>
          <w:tblHeader/>
        </w:trPr>
        <w:tc>
          <w:tcPr>
            <w:tcW w:type="dxa" w:w="2924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Partie</w:t>
            </w:r>
          </w:p>
        </w:tc>
        <w:tc>
          <w:tcPr>
            <w:tcW w:type="dxa" w:w="2534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Nom</w:t>
            </w:r>
          </w:p>
        </w:tc>
        <w:tc>
          <w:tcPr>
            <w:tcW w:type="dxa" w:w="2339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49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shd w:fill="DEEAF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85C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924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Prestataire</w:t>
            </w:r>
          </w:p>
        </w:tc>
        <w:tc>
          <w:tcPr>
            <w:tcW w:type="dxa" w:w="2534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2339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24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Client (OSCAR Fashion)</w:t>
            </w:r>
          </w:p>
        </w:tc>
        <w:tc>
          <w:tcPr>
            <w:tcW w:type="dxa" w:w="2534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2339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949"/>
            <w:tcBorders>
              <w:top w:val="single" w:color="C9D3E0" w:sz="2"/>
              <w:left w:val="single" w:color="C9D3E0" w:sz="2"/>
              <w:bottom w:val="single" w:color="C9D3E0" w:sz="2"/>
              <w:right w:val="single" w:color="C9D3E0" w:sz="2"/>
            </w:tcBorders>
            <w:tcMar>
              <w:top w:type="dxa" w:w="32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C9D3E0" w:sz="4" w:space="6"/>
        </w:pBdr>
        <w:spacing w:before="280"/>
      </w:pPr>
      <w:r>
        <w:rPr>
          <w:rFonts w:ascii="Arial" w:cs="Arial" w:eastAsia="Arial" w:hAnsi="Arial"/>
          <w:b w:val="false"/>
          <w:bCs w:val="false"/>
          <w:i/>
          <w:iCs/>
          <w:color w:val="7A7A7A"/>
          <w:sz w:val="15"/>
          <w:szCs w:val="15"/>
        </w:rPr>
        <w:t xml:space="preserve">Document généré le 20/06/2026 - à compléter avec les coordonnées fiscales et bancaires avant émission.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2026-06-20T11:56:44.390Z</dcterms:created>
  <dcterms:modified xsi:type="dcterms:W3CDTF">2026-06-20T11:56:44.390Z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