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Q1 2026 AI Consulting Report</w:t>
      </w:r>
    </w:p>
    <w:p>
      <w:pPr>
        <w:pStyle w:val="Heading1"/>
      </w:pPr>
      <w:r>
        <w:t>Executive Summary</w:t>
      </w:r>
    </w:p>
    <w:p>
      <w:r>
        <w:t>This report summarizes AI consulting engagements for Q1 2026. Total revenue reached $127,500 across 12 projects spanning healthcare, finance, and legal sectors.</w:t>
      </w:r>
    </w:p>
    <w:p>
      <w:pPr>
        <w:pStyle w:val="Heading1"/>
      </w:pPr>
      <w:r>
        <w:t>Key Findings</w:t>
      </w:r>
    </w:p>
    <w:p>
      <w:r>
        <w:t>Healthcare remains our strongest vertical with $35,000 in revenue.</w:t>
      </w:r>
    </w:p>
    <w:p>
      <w:r>
        <w:t>RAG System implementations command the highest average project value at $20,000.</w:t>
      </w:r>
    </w:p>
    <w:p>
      <w:r>
        <w:t>Document Processing projects show a 67% dissatisfaction rate and require immediate process review.</w:t>
      </w:r>
    </w:p>
    <w:p>
      <w:pPr>
        <w:pStyle w:val="Heading1"/>
      </w:pPr>
      <w:r>
        <w:t>Recommendations</w:t>
      </w:r>
    </w:p>
    <w:p>
      <w:r>
        <w:t>1. Double down on Healthcare and Finance verticals.</w:t>
      </w:r>
    </w:p>
    <w:p>
      <w:r>
        <w:t>2. Audit Document Processing delivery process within 2 weeks.</w:t>
      </w:r>
    </w:p>
    <w:p>
      <w:r>
        <w:t>3. Exit Food, HR, and Energy sectors to reduce operational drag.</w:t>
      </w:r>
    </w:p>
    <w:p>
      <w:pPr>
        <w:pStyle w:val="Heading1"/>
      </w:pPr>
      <w:r>
        <w:t>Next Steps</w:t>
      </w:r>
    </w:p>
    <w:p>
      <w:r>
        <w:t>Schedule post-mortems with ClearPath and Dynamo Inc by end of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