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Growisto — Case Study Page Copy Doc</w:t>
      </w:r>
    </w:p>
    <w:p>
      <w:r>
        <w:t>Build-ready copy for the case study page template and its first four studies.</w:t>
      </w:r>
    </w:p>
    <w:p>
      <w:r>
        <w:rPr>
          <w:b/>
        </w:rPr>
        <w:t>Template source:</w:t>
      </w:r>
      <w:r>
        <w:t xml:space="preserve"> Figma `Growisto Review File`, node `337:529` (the MSI case study frame), read directly from the file. Module names below are the designers' own.</w:t>
      </w:r>
    </w:p>
    <w:p>
      <w:r>
        <w:rPr>
          <w:b/>
        </w:rPr>
        <w:t>Content source:</w:t>
      </w:r>
      <w:r>
        <w:t xml:space="preserve"> GrowistoAI Wiki case-study, brand and testimonial notes, plus the supplied Growisto case study slide for Nobero. Every figure traces to one of those.</w:t>
      </w:r>
    </w:p>
    <w:p>
      <w:r>
        <w:rPr>
          <w:b/>
        </w:rPr>
        <w:t>Live prototypes:</w:t>
      </w:r>
      <w:r>
        <w:t xml:space="preserve"> https://salamaudi-dev.github.io/website-pages/landing-pages/outputs/homepage-prototypes-index.html</w:t>
      </w:r>
    </w:p>
    <w:p/>
    <w:p>
      <w:pPr>
        <w:pStyle w:val="Heading2"/>
      </w:pPr>
      <w:r>
        <w:t>DESIGN REFERENCES</w:t>
      </w:r>
    </w:p>
    <w:p>
      <w:r>
        <w:rPr>
          <w:b/>
        </w:rPr>
        <w:t>Legend</w:t>
      </w:r>
    </w:p>
    <w:p>
      <w:pPr>
        <w:pStyle w:val="ListBullet"/>
      </w:pPr>
      <w:r>
        <w:rPr>
          <w:b/>
        </w:rPr>
        <w:t>CS-WIRE</w:t>
      </w:r>
      <w:r>
        <w:t xml:space="preserve"> — Case study wireframe, Figma node `337:529`. The structural reference for every module below.</w:t>
      </w:r>
    </w:p>
    <w:p>
      <w:pPr>
        <w:pStyle w:val="ListBullet"/>
      </w:pPr>
      <w:r>
        <w:rPr>
          <w:b/>
        </w:rPr>
        <w:t>CS-PROTO</w:t>
      </w:r>
      <w:r>
        <w:t xml:space="preserve"> — Built prototypes, blue &amp; brown palette. One per study, linked in each section header.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w:t>
            </w:r>
          </w:p>
        </w:tc>
        <w:tc>
          <w:tcPr>
            <w:tcW w:type="dxa" w:w="2340"/>
          </w:tcPr>
          <w:p>
            <w:r>
              <w:rPr>
                <w:b/>
              </w:rPr>
            </w:r>
            <w:r>
              <w:rPr>
                <w:b/>
              </w:rPr>
              <w:t>Module</w:t>
            </w:r>
          </w:p>
        </w:tc>
        <w:tc>
          <w:tcPr>
            <w:tcW w:type="dxa" w:w="2340"/>
          </w:tcPr>
          <w:p>
            <w:r>
              <w:rPr>
                <w:b/>
              </w:rPr>
            </w:r>
            <w:r>
              <w:rPr>
                <w:b/>
              </w:rPr>
              <w:t>Design ref</w:t>
            </w:r>
          </w:p>
        </w:tc>
        <w:tc>
          <w:tcPr>
            <w:tcW w:type="dxa" w:w="2340"/>
          </w:tcPr>
          <w:p>
            <w:r>
              <w:rPr>
                <w:b/>
              </w:rPr>
            </w:r>
            <w:r>
              <w:rPr>
                <w:b/>
              </w:rPr>
              <w:t>Component to mirror</w:t>
            </w:r>
          </w:p>
        </w:tc>
      </w:tr>
      <w:tr>
        <w:tc>
          <w:tcPr>
            <w:tcW w:type="dxa" w:w="2340"/>
          </w:tcPr>
          <w:p>
            <w:r/>
            <w:r>
              <w:t>1</w:t>
            </w:r>
          </w:p>
        </w:tc>
        <w:tc>
          <w:tcPr>
            <w:tcW w:type="dxa" w:w="2340"/>
          </w:tcPr>
          <w:p>
            <w:r/>
            <w:r>
              <w:t>M1 Hero</w:t>
            </w:r>
          </w:p>
        </w:tc>
        <w:tc>
          <w:tcPr>
            <w:tcW w:type="dxa" w:w="2340"/>
          </w:tcPr>
          <w:p>
            <w:r/>
            <w:r>
              <w:t>CS-WIRE</w:t>
            </w:r>
          </w:p>
        </w:tc>
        <w:tc>
          <w:tcPr>
            <w:tcW w:type="dxa" w:w="2340"/>
          </w:tcPr>
          <w:p>
            <w:r/>
            <w:r>
              <w:t>Breadcrumb, brand badge, 58px H1, lede, byline, 4:3 figure right</w:t>
            </w:r>
          </w:p>
        </w:tc>
      </w:tr>
      <w:tr>
        <w:tc>
          <w:tcPr>
            <w:tcW w:type="dxa" w:w="2340"/>
          </w:tcPr>
          <w:p>
            <w:r/>
            <w:r>
              <w:t>2</w:t>
            </w:r>
          </w:p>
        </w:tc>
        <w:tc>
          <w:tcPr>
            <w:tcW w:type="dxa" w:w="2340"/>
          </w:tcPr>
          <w:p>
            <w:r/>
            <w:r>
              <w:t>M2 Results</w:t>
            </w:r>
          </w:p>
        </w:tc>
        <w:tc>
          <w:tcPr>
            <w:tcW w:type="dxa" w:w="2340"/>
          </w:tcPr>
          <w:p>
            <w:r/>
            <w:r>
              <w:t>CS-WIRE</w:t>
            </w:r>
          </w:p>
        </w:tc>
        <w:tc>
          <w:tcPr>
            <w:tcW w:type="dxa" w:w="2340"/>
          </w:tcPr>
          <w:p>
            <w:r/>
            <w:r>
              <w:t>Full-bleed tint band, four stats at 78px with label + explainer</w:t>
            </w:r>
          </w:p>
        </w:tc>
      </w:tr>
      <w:tr>
        <w:tc>
          <w:tcPr>
            <w:tcW w:type="dxa" w:w="2340"/>
          </w:tcPr>
          <w:p>
            <w:r/>
            <w:r>
              <w:t>3</w:t>
            </w:r>
          </w:p>
        </w:tc>
        <w:tc>
          <w:tcPr>
            <w:tcW w:type="dxa" w:w="2340"/>
          </w:tcPr>
          <w:p>
            <w:r/>
            <w:r>
              <w:t>M3 Sticky case panel</w:t>
            </w:r>
          </w:p>
        </w:tc>
        <w:tc>
          <w:tcPr>
            <w:tcW w:type="dxa" w:w="2340"/>
          </w:tcPr>
          <w:p>
            <w:r/>
            <w:r>
              <w:t>CS-WIRE</w:t>
            </w:r>
          </w:p>
        </w:tc>
        <w:tc>
          <w:tcPr>
            <w:tcW w:type="dxa" w:w="2340"/>
          </w:tcPr>
          <w:p>
            <w:r/>
            <w:r>
              <w:t>340px aside, sticky for the full story scroll. About / Services / Period</w:t>
            </w:r>
          </w:p>
        </w:tc>
      </w:tr>
      <w:tr>
        <w:tc>
          <w:tcPr>
            <w:tcW w:type="dxa" w:w="2340"/>
          </w:tcPr>
          <w:p>
            <w:r/>
            <w:r>
              <w:t>4</w:t>
            </w:r>
          </w:p>
        </w:tc>
        <w:tc>
          <w:tcPr>
            <w:tcW w:type="dxa" w:w="2340"/>
          </w:tcPr>
          <w:p>
            <w:r/>
            <w:r>
              <w:t>M4 Their story</w:t>
            </w:r>
          </w:p>
        </w:tc>
        <w:tc>
          <w:tcPr>
            <w:tcW w:type="dxa" w:w="2340"/>
          </w:tcPr>
          <w:p>
            <w:r/>
            <w:r>
              <w:t>CS-WIRE</w:t>
            </w:r>
          </w:p>
        </w:tc>
        <w:tc>
          <w:tcPr>
            <w:tcW w:type="dxa" w:w="2340"/>
          </w:tcPr>
          <w:p>
            <w:r/>
            <w:r>
              <w:t>748px story column, eyebrow + 36px H2 + body</w:t>
            </w:r>
          </w:p>
        </w:tc>
      </w:tr>
      <w:tr>
        <w:tc>
          <w:tcPr>
            <w:tcW w:type="dxa" w:w="2340"/>
          </w:tcPr>
          <w:p>
            <w:r/>
            <w:r>
              <w:t>5</w:t>
            </w:r>
          </w:p>
        </w:tc>
        <w:tc>
          <w:tcPr>
            <w:tcW w:type="dxa" w:w="2340"/>
          </w:tcPr>
          <w:p>
            <w:r/>
            <w:r>
              <w:t>M5 The challenge</w:t>
            </w:r>
          </w:p>
        </w:tc>
        <w:tc>
          <w:tcPr>
            <w:tcW w:type="dxa" w:w="2340"/>
          </w:tcPr>
          <w:p>
            <w:r/>
            <w:r>
              <w:t>CS-WIRE</w:t>
            </w:r>
          </w:p>
        </w:tc>
        <w:tc>
          <w:tcPr>
            <w:tcW w:type="dxa" w:w="2340"/>
          </w:tcPr>
          <w:p>
            <w:r/>
            <w:r>
              <w:t>Three constraint tiles, then the Objectives block with accent rule</w:t>
            </w:r>
          </w:p>
        </w:tc>
      </w:tr>
      <w:tr>
        <w:tc>
          <w:tcPr>
            <w:tcW w:type="dxa" w:w="2340"/>
          </w:tcPr>
          <w:p>
            <w:r/>
            <w:r>
              <w:t>6</w:t>
            </w:r>
          </w:p>
        </w:tc>
        <w:tc>
          <w:tcPr>
            <w:tcW w:type="dxa" w:w="2340"/>
          </w:tcPr>
          <w:p>
            <w:r/>
            <w:r>
              <w:t>M6 The solution</w:t>
            </w:r>
          </w:p>
        </w:tc>
        <w:tc>
          <w:tcPr>
            <w:tcW w:type="dxa" w:w="2340"/>
          </w:tcPr>
          <w:p>
            <w:r/>
            <w:r>
              <w:t>CS-WIRE</w:t>
            </w:r>
          </w:p>
        </w:tc>
        <w:tc>
          <w:tcPr>
            <w:tcW w:type="dxa" w:w="2340"/>
          </w:tcPr>
          <w:p>
            <w:r/>
            <w:r>
              <w:t>Three numbered steps. Step 01 comparison, 02 four-phase row, 03 data viz</w:t>
            </w:r>
          </w:p>
        </w:tc>
      </w:tr>
      <w:tr>
        <w:tc>
          <w:tcPr>
            <w:tcW w:type="dxa" w:w="2340"/>
          </w:tcPr>
          <w:p>
            <w:r/>
            <w:r>
              <w:t>7</w:t>
            </w:r>
          </w:p>
        </w:tc>
        <w:tc>
          <w:tcPr>
            <w:tcW w:type="dxa" w:w="2340"/>
          </w:tcPr>
          <w:p>
            <w:r/>
            <w:r>
              <w:t>M7 The outcome</w:t>
            </w:r>
          </w:p>
        </w:tc>
        <w:tc>
          <w:tcPr>
            <w:tcW w:type="dxa" w:w="2340"/>
          </w:tcPr>
          <w:p>
            <w:r/>
            <w:r>
              <w:t>CS-WIRE</w:t>
            </w:r>
          </w:p>
        </w:tc>
        <w:tc>
          <w:tcPr>
            <w:tcW w:type="dxa" w:w="2340"/>
          </w:tcPr>
          <w:p>
            <w:r/>
            <w:r>
              <w:t>Two-up: headline stat with caption, plus a secondary outcome</w:t>
            </w:r>
          </w:p>
        </w:tc>
      </w:tr>
      <w:tr>
        <w:tc>
          <w:tcPr>
            <w:tcW w:type="dxa" w:w="2340"/>
          </w:tcPr>
          <w:p>
            <w:r/>
            <w:r>
              <w:t>8</w:t>
            </w:r>
          </w:p>
        </w:tc>
        <w:tc>
          <w:tcPr>
            <w:tcW w:type="dxa" w:w="2340"/>
          </w:tcPr>
          <w:p>
            <w:r/>
            <w:r>
              <w:t>M8 Voice</w:t>
            </w:r>
          </w:p>
        </w:tc>
        <w:tc>
          <w:tcPr>
            <w:tcW w:type="dxa" w:w="2340"/>
          </w:tcPr>
          <w:p>
            <w:r/>
            <w:r>
              <w:t>CS-WIRE</w:t>
            </w:r>
          </w:p>
        </w:tc>
        <w:tc>
          <w:tcPr>
            <w:tcW w:type="dxa" w:w="2340"/>
          </w:tcPr>
          <w:p>
            <w:r/>
            <w:r>
              <w:t>Quote at 24px, attribution beneath</w:t>
            </w:r>
          </w:p>
        </w:tc>
      </w:tr>
      <w:tr>
        <w:tc>
          <w:tcPr>
            <w:tcW w:type="dxa" w:w="2340"/>
          </w:tcPr>
          <w:p>
            <w:r/>
            <w:r>
              <w:t>9</w:t>
            </w:r>
          </w:p>
        </w:tc>
        <w:tc>
          <w:tcPr>
            <w:tcW w:type="dxa" w:w="2340"/>
          </w:tcPr>
          <w:p>
            <w:r/>
            <w:r>
              <w:t>M10 Book a call</w:t>
            </w:r>
          </w:p>
        </w:tc>
        <w:tc>
          <w:tcPr>
            <w:tcW w:type="dxa" w:w="2340"/>
          </w:tcPr>
          <w:p>
            <w:r/>
            <w:r>
              <w:t>CS-WIRE</w:t>
            </w:r>
          </w:p>
        </w:tc>
        <w:tc>
          <w:tcPr>
            <w:tcW w:type="dxa" w:w="2340"/>
          </w:tcPr>
          <w:p>
            <w:r/>
            <w:r>
              <w:t>Left copy + two-step explainer, right form card, trust row</w:t>
            </w:r>
          </w:p>
        </w:tc>
      </w:tr>
      <w:tr>
        <w:tc>
          <w:tcPr>
            <w:tcW w:type="dxa" w:w="2340"/>
          </w:tcPr>
          <w:p>
            <w:r/>
            <w:r>
              <w:t>10</w:t>
            </w:r>
          </w:p>
        </w:tc>
        <w:tc>
          <w:tcPr>
            <w:tcW w:type="dxa" w:w="2340"/>
          </w:tcPr>
          <w:p>
            <w:r/>
            <w:r>
              <w:t>M11 Similar situations</w:t>
            </w:r>
          </w:p>
        </w:tc>
        <w:tc>
          <w:tcPr>
            <w:tcW w:type="dxa" w:w="2340"/>
          </w:tcPr>
          <w:p>
            <w:r/>
            <w:r>
              <w:t>CS-WIRE</w:t>
            </w:r>
          </w:p>
        </w:tc>
        <w:tc>
          <w:tcPr>
            <w:tcW w:type="dxa" w:w="2340"/>
          </w:tcPr>
          <w:p>
            <w:r/>
            <w:r>
              <w:t>Three related-story cards, 16:9 thumb, category, title, result line</w:t>
            </w:r>
          </w:p>
        </w:tc>
      </w:tr>
    </w:tbl>
    <w:p/>
    <w:p>
      <w:r>
        <w:rPr>
          <w:b/>
        </w:rPr>
        <w:t>Module slot types for M6.</w:t>
      </w:r>
      <w:r>
        <w:t xml:space="preserve"> The wireframe defines one bespoke treatment per step for MSI. To make the template reusable, each step slot takes one of: </w:t>
      </w:r>
      <w:r>
        <w:rPr>
          <w:b/>
        </w:rPr>
        <w:t>comparison table</w:t>
      </w:r>
      <w:r>
        <w:t xml:space="preserve">, </w:t>
      </w:r>
      <w:r>
        <w:rPr>
          <w:b/>
        </w:rPr>
        <w:t>phase row</w:t>
      </w:r>
      <w:r>
        <w:t xml:space="preserve">, </w:t>
      </w:r>
      <w:r>
        <w:rPr>
          <w:b/>
        </w:rPr>
        <w:t>time series</w:t>
      </w:r>
      <w:r>
        <w:t xml:space="preserve">, </w:t>
      </w:r>
      <w:r>
        <w:rPr>
          <w:b/>
        </w:rPr>
        <w:t>funnel</w:t>
      </w:r>
      <w:r>
        <w:t xml:space="preserve">, or </w:t>
      </w:r>
      <w:r>
        <w:rPr>
          <w:b/>
        </w:rPr>
        <w:t>bar comparison</w:t>
      </w:r>
      <w:r>
        <w:t>. The four studies below use these as noted.</w:t>
      </w:r>
    </w:p>
    <w:p/>
    <w:p>
      <w:pPr>
        <w:pStyle w:val="Heading2"/>
      </w:pPr>
      <w:r>
        <w:t>RECOMMENDED SECTION ORDER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w:t>
            </w:r>
          </w:p>
        </w:tc>
        <w:tc>
          <w:tcPr>
            <w:tcW w:type="dxa" w:w="2340"/>
          </w:tcPr>
          <w:p>
            <w:r>
              <w:rPr>
                <w:b/>
              </w:rPr>
            </w:r>
            <w:r>
              <w:rPr>
                <w:b/>
              </w:rPr>
              <w:t>Section</w:t>
            </w:r>
          </w:p>
        </w:tc>
        <w:tc>
          <w:tcPr>
            <w:tcW w:type="dxa" w:w="2340"/>
          </w:tcPr>
          <w:p>
            <w:r>
              <w:rPr>
                <w:b/>
              </w:rPr>
            </w:r>
            <w:r>
              <w:rPr>
                <w:b/>
              </w:rPr>
              <w:t>Verdict</w:t>
            </w:r>
          </w:p>
        </w:tc>
        <w:tc>
          <w:tcPr>
            <w:tcW w:type="dxa" w:w="2340"/>
          </w:tcPr>
          <w:p>
            <w:r>
              <w:rPr>
                <w:b/>
              </w:rPr>
            </w:r>
            <w:r>
              <w:rPr>
                <w:b/>
              </w:rPr>
              <w:t>Why</w:t>
            </w:r>
          </w:p>
        </w:tc>
      </w:tr>
      <w:tr>
        <w:tc>
          <w:tcPr>
            <w:tcW w:type="dxa" w:w="2340"/>
          </w:tcPr>
          <w:p>
            <w:r/>
            <w:r>
              <w:t>1</w:t>
            </w:r>
          </w:p>
        </w:tc>
        <w:tc>
          <w:tcPr>
            <w:tcW w:type="dxa" w:w="2340"/>
          </w:tcPr>
          <w:p>
            <w:r/>
            <w:r>
              <w:t>Breadcrumb</w:t>
            </w:r>
          </w:p>
        </w:tc>
        <w:tc>
          <w:tcPr>
            <w:tcW w:type="dxa" w:w="2340"/>
          </w:tcPr>
          <w:p>
            <w:r/>
            <w:r>
              <w:t>KEEP</w:t>
            </w:r>
          </w:p>
        </w:tc>
        <w:tc>
          <w:tcPr>
            <w:tcW w:type="dxa" w:w="2340"/>
          </w:tcPr>
          <w:p>
            <w:r/>
            <w:r>
              <w:t>Resources › Case studies › [service]. Last crumb needs a taxonomy decision, see Pending</w:t>
            </w:r>
          </w:p>
        </w:tc>
      </w:tr>
      <w:tr>
        <w:tc>
          <w:tcPr>
            <w:tcW w:type="dxa" w:w="2340"/>
          </w:tcPr>
          <w:p>
            <w:r/>
            <w:r>
              <w:t>2</w:t>
            </w:r>
          </w:p>
        </w:tc>
        <w:tc>
          <w:tcPr>
            <w:tcW w:type="dxa" w:w="2340"/>
          </w:tcPr>
          <w:p>
            <w:r/>
            <w:r>
              <w:t>M1 Hero</w:t>
            </w:r>
          </w:p>
        </w:tc>
        <w:tc>
          <w:tcPr>
            <w:tcW w:type="dxa" w:w="2340"/>
          </w:tcPr>
          <w:p>
            <w:r/>
            <w:r>
              <w:t>KEEP</w:t>
            </w:r>
          </w:p>
        </w:tc>
        <w:tc>
          <w:tcPr>
            <w:tcW w:type="dxa" w:w="2340"/>
          </w:tcPr>
          <w:p>
            <w:r/>
            <w:r>
              <w:t>Carries the one headline claim. Outcome-first H1 per CLAUDE.md hero pattern</w:t>
            </w:r>
          </w:p>
        </w:tc>
      </w:tr>
      <w:tr>
        <w:tc>
          <w:tcPr>
            <w:tcW w:type="dxa" w:w="2340"/>
          </w:tcPr>
          <w:p>
            <w:r/>
            <w:r>
              <w:t>3</w:t>
            </w:r>
          </w:p>
        </w:tc>
        <w:tc>
          <w:tcPr>
            <w:tcW w:type="dxa" w:w="2340"/>
          </w:tcPr>
          <w:p>
            <w:r/>
            <w:r>
              <w:t>M2 Results</w:t>
            </w:r>
          </w:p>
        </w:tc>
        <w:tc>
          <w:tcPr>
            <w:tcW w:type="dxa" w:w="2340"/>
          </w:tcPr>
          <w:p>
            <w:r/>
            <w:r>
              <w:t>KEEP</w:t>
            </w:r>
          </w:p>
        </w:tc>
        <w:tc>
          <w:tcPr>
            <w:tcW w:type="dxa" w:w="2340"/>
          </w:tcPr>
          <w:p>
            <w:r/>
            <w:r>
              <w:t>Four stats. Locked card format caps at 3; a dedicated page is not a card, so 4 is intentional</w:t>
            </w:r>
          </w:p>
        </w:tc>
      </w:tr>
      <w:tr>
        <w:tc>
          <w:tcPr>
            <w:tcW w:type="dxa" w:w="2340"/>
          </w:tcPr>
          <w:p>
            <w:r/>
            <w:r>
              <w:t>4</w:t>
            </w:r>
          </w:p>
        </w:tc>
        <w:tc>
          <w:tcPr>
            <w:tcW w:type="dxa" w:w="2340"/>
          </w:tcPr>
          <w:p>
            <w:r/>
            <w:r>
              <w:t>M3 Sticky panel</w:t>
            </w:r>
          </w:p>
        </w:tc>
        <w:tc>
          <w:tcPr>
            <w:tcW w:type="dxa" w:w="2340"/>
          </w:tcPr>
          <w:p>
            <w:r/>
            <w:r>
              <w:t>ADD</w:t>
            </w:r>
          </w:p>
        </w:tc>
        <w:tc>
          <w:tcPr>
            <w:tcW w:type="dxa" w:w="2340"/>
          </w:tcPr>
          <w:p>
            <w:r/>
            <w:r>
              <w:t>Recommend it also carry in-page nav or the headline metric, see design feedback</w:t>
            </w:r>
          </w:p>
        </w:tc>
      </w:tr>
      <w:tr>
        <w:tc>
          <w:tcPr>
            <w:tcW w:type="dxa" w:w="2340"/>
          </w:tcPr>
          <w:p>
            <w:r/>
            <w:r>
              <w:t>5</w:t>
            </w:r>
          </w:p>
        </w:tc>
        <w:tc>
          <w:tcPr>
            <w:tcW w:type="dxa" w:w="2340"/>
          </w:tcPr>
          <w:p>
            <w:r/>
            <w:r>
              <w:t>M4 Their story</w:t>
            </w:r>
          </w:p>
        </w:tc>
        <w:tc>
          <w:tcPr>
            <w:tcW w:type="dxa" w:w="2340"/>
          </w:tcPr>
          <w:p>
            <w:r/>
            <w:r>
              <w:t>KEEP</w:t>
            </w:r>
          </w:p>
        </w:tc>
        <w:tc>
          <w:tcPr>
            <w:tcW w:type="dxa" w:w="2340"/>
          </w:tcPr>
          <w:p>
            <w:r/>
            <w:r>
              <w:t>Context before claim</w:t>
            </w:r>
          </w:p>
        </w:tc>
      </w:tr>
      <w:tr>
        <w:tc>
          <w:tcPr>
            <w:tcW w:type="dxa" w:w="2340"/>
          </w:tcPr>
          <w:p>
            <w:r/>
            <w:r>
              <w:t>6</w:t>
            </w:r>
          </w:p>
        </w:tc>
        <w:tc>
          <w:tcPr>
            <w:tcW w:type="dxa" w:w="2340"/>
          </w:tcPr>
          <w:p>
            <w:r/>
            <w:r>
              <w:t>M5 The challenge</w:t>
            </w:r>
          </w:p>
        </w:tc>
        <w:tc>
          <w:tcPr>
            <w:tcW w:type="dxa" w:w="2340"/>
          </w:tcPr>
          <w:p>
            <w:r/>
            <w:r>
              <w:t>KEEP</w:t>
            </w:r>
          </w:p>
        </w:tc>
        <w:tc>
          <w:tcPr>
            <w:tcW w:type="dxa" w:w="2340"/>
          </w:tcPr>
          <w:p>
            <w:r/>
            <w:r>
              <w:t>Constraints, then objectives</w:t>
            </w:r>
          </w:p>
        </w:tc>
      </w:tr>
      <w:tr>
        <w:tc>
          <w:tcPr>
            <w:tcW w:type="dxa" w:w="2340"/>
          </w:tcPr>
          <w:p>
            <w:r/>
            <w:r>
              <w:t>7</w:t>
            </w:r>
          </w:p>
        </w:tc>
        <w:tc>
          <w:tcPr>
            <w:tcW w:type="dxa" w:w="2340"/>
          </w:tcPr>
          <w:p>
            <w:r/>
            <w:r>
              <w:t>M6 The solution</w:t>
            </w:r>
          </w:p>
        </w:tc>
        <w:tc>
          <w:tcPr>
            <w:tcW w:type="dxa" w:w="2340"/>
          </w:tcPr>
          <w:p>
            <w:r/>
            <w:r>
              <w:t>KEEP</w:t>
            </w:r>
          </w:p>
        </w:tc>
        <w:tc>
          <w:tcPr>
            <w:tcW w:type="dxa" w:w="2340"/>
          </w:tcPr>
          <w:p>
            <w:r/>
            <w:r>
              <w:t>Three steps, the longest module on the page</w:t>
            </w:r>
          </w:p>
        </w:tc>
      </w:tr>
      <w:tr>
        <w:tc>
          <w:tcPr>
            <w:tcW w:type="dxa" w:w="2340"/>
          </w:tcPr>
          <w:p>
            <w:r/>
            <w:r>
              <w:t>8</w:t>
            </w:r>
          </w:p>
        </w:tc>
        <w:tc>
          <w:tcPr>
            <w:tcW w:type="dxa" w:w="2340"/>
          </w:tcPr>
          <w:p>
            <w:r/>
            <w:r>
              <w:t>M7 The outcome</w:t>
            </w:r>
          </w:p>
        </w:tc>
        <w:tc>
          <w:tcPr>
            <w:tcW w:type="dxa" w:w="2340"/>
          </w:tcPr>
          <w:p>
            <w:r/>
            <w:r>
              <w:t>KEEP</w:t>
            </w:r>
          </w:p>
        </w:tc>
        <w:tc>
          <w:tcPr>
            <w:tcW w:type="dxa" w:w="2340"/>
          </w:tcPr>
          <w:p>
            <w:r/>
            <w:r>
              <w:t>The non-ad, non-headline result</w:t>
            </w:r>
          </w:p>
        </w:tc>
      </w:tr>
      <w:tr>
        <w:tc>
          <w:tcPr>
            <w:tcW w:type="dxa" w:w="2340"/>
          </w:tcPr>
          <w:p>
            <w:r/>
            <w:r>
              <w:t>9</w:t>
            </w:r>
          </w:p>
        </w:tc>
        <w:tc>
          <w:tcPr>
            <w:tcW w:type="dxa" w:w="2340"/>
          </w:tcPr>
          <w:p>
            <w:r/>
            <w:r>
              <w:t>M8 Voice</w:t>
            </w:r>
          </w:p>
        </w:tc>
        <w:tc>
          <w:tcPr>
            <w:tcW w:type="dxa" w:w="2340"/>
          </w:tcPr>
          <w:p>
            <w:r/>
            <w:r>
              <w:t>KEEP</w:t>
            </w:r>
          </w:p>
        </w:tc>
        <w:tc>
          <w:tcPr>
            <w:tcW w:type="dxa" w:w="2340"/>
          </w:tcPr>
          <w:p>
            <w:r/>
            <w:r>
              <w:t>Client quote. Two of four studies have no cleared quote</w:t>
            </w:r>
          </w:p>
        </w:tc>
      </w:tr>
      <w:tr>
        <w:tc>
          <w:tcPr>
            <w:tcW w:type="dxa" w:w="2340"/>
          </w:tcPr>
          <w:p>
            <w:r/>
            <w:r>
              <w:t>10</w:t>
            </w:r>
          </w:p>
        </w:tc>
        <w:tc>
          <w:tcPr>
            <w:tcW w:type="dxa" w:w="2340"/>
          </w:tcPr>
          <w:p>
            <w:r/>
            <w:r>
              <w:t>M10 Book a call</w:t>
            </w:r>
          </w:p>
        </w:tc>
        <w:tc>
          <w:tcPr>
            <w:tcW w:type="dxa" w:w="2340"/>
          </w:tcPr>
          <w:p>
            <w:r/>
            <w:r>
              <w:t>KEEP</w:t>
            </w:r>
          </w:p>
        </w:tc>
        <w:tc>
          <w:tcPr>
            <w:tcW w:type="dxa" w:w="2340"/>
          </w:tcPr>
          <w:p>
            <w:r/>
            <w:r>
              <w:t>Consider a slimmer CTA, see design feedback</w:t>
            </w:r>
          </w:p>
        </w:tc>
      </w:tr>
      <w:tr>
        <w:tc>
          <w:tcPr>
            <w:tcW w:type="dxa" w:w="2340"/>
          </w:tcPr>
          <w:p>
            <w:r/>
            <w:r>
              <w:t>11</w:t>
            </w:r>
          </w:p>
        </w:tc>
        <w:tc>
          <w:tcPr>
            <w:tcW w:type="dxa" w:w="2340"/>
          </w:tcPr>
          <w:p>
            <w:r/>
            <w:r>
              <w:t>M11 Similar situations</w:t>
            </w:r>
          </w:p>
        </w:tc>
        <w:tc>
          <w:tcPr>
            <w:tcW w:type="dxa" w:w="2340"/>
          </w:tcPr>
          <w:p>
            <w:r/>
            <w:r>
              <w:t>KEEP</w:t>
            </w:r>
          </w:p>
        </w:tc>
        <w:tc>
          <w:tcPr>
            <w:tcW w:type="dxa" w:w="2340"/>
          </w:tcPr>
          <w:p>
            <w:r/>
            <w:r>
              <w:t>Needs related-content logic defined across a 52-study library</w:t>
            </w:r>
          </w:p>
        </w:tc>
      </w:tr>
    </w:tbl>
    <w:p/>
    <w:p/>
    <w:p>
      <w:pPr>
        <w:pStyle w:val="Heading1"/>
      </w:pPr>
      <w:r>
        <w:t>CASE STUDY 1 — MSI</w:t>
      </w:r>
    </w:p>
    <w:p>
      <w:r>
        <w:rPr>
          <w:b/>
        </w:rPr>
        <w:t>Prototype:</w:t>
      </w:r>
      <w:r>
        <w:t xml:space="preserve"> https://salamaudi-dev.github.io/website-pages/landing-pages/outputs/case-study-msi-brand.html</w:t>
      </w:r>
    </w:p>
    <w:p>
      <w:r>
        <w:rPr>
          <w:b/>
        </w:rPr>
        <w:t>Breadcrumb:</w:t>
      </w:r>
      <w:r>
        <w:t xml:space="preserve"> Resources › Case studies › Marketplaces, Amazon Ads</w:t>
      </w:r>
    </w:p>
    <w:p>
      <w:pPr>
        <w:pStyle w:val="Heading3"/>
      </w:pPr>
      <w:r>
        <w:t>SECTION 1 — M1 HERO</w:t>
      </w:r>
    </w:p>
    <w:p>
      <w:r>
        <w:t>Brand badge: MSI</w:t>
      </w:r>
    </w:p>
    <w:p>
      <w:r>
        <w:t>Kicker: MSI, a global gaming laptop brand</w:t>
      </w:r>
    </w:p>
    <w:p>
      <w:pPr>
        <w:pStyle w:val="Heading1"/>
      </w:pPr>
      <w:r>
        <w:t>How a Challenger Brand Hit #1 BSR on Amazon KSA in 5 Months Through Amazon Ads</w:t>
      </w:r>
    </w:p>
    <w:p>
      <w:r>
        <w:t>MSI was already a Growisto client when Saudi Arabia was added as a new market, managed entirely through Amazon Ads. The Saudi launch was a zero-to-one project: no prior presence, no brand recognition, competing against established names like Apple and HP.</w:t>
      </w:r>
    </w:p>
    <w:p>
      <w:r>
        <w:t>Byline: Written by Growisto · 15th Jun 2025</w:t>
      </w:r>
    </w:p>
    <w:p>
      <w:r>
        <w:t>Figure: Dummy image — replace with client-cleared MSI asset</w:t>
      </w:r>
    </w:p>
    <w:p>
      <w:pPr>
        <w:pStyle w:val="Heading3"/>
      </w:pPr>
      <w:r>
        <w:t>SECTION 2 — M2 RESULTS</w:t>
      </w:r>
    </w:p>
    <w:p>
      <w:pPr>
        <w:pStyle w:val="Heading2"/>
      </w:pPr>
      <w:r>
        <w:t>Results</w:t>
      </w:r>
    </w:p>
    <w:p>
      <w:r>
        <w:t>Period label: November 2024 – May 2025</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Stat</w:t>
            </w:r>
          </w:p>
        </w:tc>
        <w:tc>
          <w:tcPr>
            <w:tcW w:type="dxa" w:w="3120"/>
          </w:tcPr>
          <w:p>
            <w:r>
              <w:rPr>
                <w:b/>
              </w:rPr>
            </w:r>
            <w:r>
              <w:rPr>
                <w:b/>
              </w:rPr>
              <w:t>Label</w:t>
            </w:r>
          </w:p>
        </w:tc>
        <w:tc>
          <w:tcPr>
            <w:tcW w:type="dxa" w:w="3120"/>
          </w:tcPr>
          <w:p>
            <w:r>
              <w:rPr>
                <w:b/>
              </w:rPr>
            </w:r>
            <w:r>
              <w:rPr>
                <w:b/>
              </w:rPr>
              <w:t>Explainer</w:t>
            </w:r>
          </w:p>
        </w:tc>
      </w:tr>
      <w:tr>
        <w:tc>
          <w:tcPr>
            <w:tcW w:type="dxa" w:w="3120"/>
          </w:tcPr>
          <w:p>
            <w:r/>
            <w:r>
              <w:rPr>
                <w:b/>
              </w:rPr>
              <w:t>110%</w:t>
            </w:r>
          </w:p>
        </w:tc>
        <w:tc>
          <w:tcPr>
            <w:tcW w:type="dxa" w:w="3120"/>
          </w:tcPr>
          <w:p>
            <w:r/>
            <w:r>
              <w:t>Increase in ad sales</w:t>
            </w:r>
          </w:p>
        </w:tc>
        <w:tc>
          <w:tcPr>
            <w:tcW w:type="dxa" w:w="3120"/>
          </w:tcPr>
          <w:p>
            <w:r/>
            <w:r>
              <w:t>Revenue from shoppers who bought after clicking an ad</w:t>
            </w:r>
          </w:p>
        </w:tc>
      </w:tr>
      <w:tr>
        <w:tc>
          <w:tcPr>
            <w:tcW w:type="dxa" w:w="3120"/>
          </w:tcPr>
          <w:p>
            <w:r/>
            <w:r>
              <w:rPr>
                <w:b/>
              </w:rPr>
              <w:t>81</w:t>
            </w:r>
          </w:p>
        </w:tc>
        <w:tc>
          <w:tcPr>
            <w:tcW w:type="dxa" w:w="3120"/>
          </w:tcPr>
          <w:p>
            <w:r/>
            <w:r>
              <w:t>ROAS, maintained throughout</w:t>
            </w:r>
          </w:p>
        </w:tc>
        <w:tc>
          <w:tcPr>
            <w:tcW w:type="dxa" w:w="3120"/>
          </w:tcPr>
          <w:p>
            <w:r/>
            <w:r>
              <w:t>Held while competitors responded</w:t>
            </w:r>
          </w:p>
        </w:tc>
      </w:tr>
      <w:tr>
        <w:tc>
          <w:tcPr>
            <w:tcW w:type="dxa" w:w="3120"/>
          </w:tcPr>
          <w:p>
            <w:r/>
            <w:r>
              <w:rPr>
                <w:b/>
              </w:rPr>
              <w:t>64%</w:t>
            </w:r>
          </w:p>
        </w:tc>
        <w:tc>
          <w:tcPr>
            <w:tcW w:type="dxa" w:w="3120"/>
          </w:tcPr>
          <w:p>
            <w:r/>
            <w:r>
              <w:t>Increase in orders</w:t>
            </w:r>
          </w:p>
        </w:tc>
        <w:tc>
          <w:tcPr>
            <w:tcW w:type="dxa" w:w="3120"/>
          </w:tcPr>
          <w:p>
            <w:r/>
            <w:r>
              <w:t>[Total or ad-attributed]</w:t>
            </w:r>
          </w:p>
        </w:tc>
      </w:tr>
      <w:tr>
        <w:tc>
          <w:tcPr>
            <w:tcW w:type="dxa" w:w="3120"/>
          </w:tcPr>
          <w:p>
            <w:r/>
            <w:r>
              <w:rPr>
                <w:b/>
              </w:rPr>
              <w:t>78%</w:t>
            </w:r>
          </w:p>
        </w:tc>
        <w:tc>
          <w:tcPr>
            <w:tcW w:type="dxa" w:w="3120"/>
          </w:tcPr>
          <w:p>
            <w:r/>
            <w:r>
              <w:t>Ad CVR improvement</w:t>
            </w:r>
          </w:p>
        </w:tc>
        <w:tc>
          <w:tcPr>
            <w:tcW w:type="dxa" w:w="3120"/>
          </w:tcPr>
          <w:p>
            <w:r/>
            <w:r>
              <w:t>Share of ad clicks that converted to a purchase</w:t>
            </w:r>
          </w:p>
        </w:tc>
      </w:tr>
    </w:tbl>
    <w:p/>
    <w:p>
      <w:r>
        <w:t>Link: How these numbers were measured</w:t>
      </w:r>
    </w:p>
    <w:p>
      <w:pPr>
        <w:pStyle w:val="Heading3"/>
      </w:pPr>
      <w:r>
        <w:t>SECTION 3 — M3 STICKY CASE PANEL</w:t>
      </w:r>
    </w:p>
    <w:p>
      <w:r>
        <w:rPr>
          <w:b/>
        </w:rPr>
        <w:t>About.</w:t>
      </w:r>
      <w:r>
        <w:t xml:space="preserve"> MSI is a global gaming laptop brand, already a Growisto client when Saudi Arabia was added as a new market, managed entirely through Amazon Ads.</w:t>
      </w:r>
    </w:p>
    <w:p>
      <w:r>
        <w:rPr>
          <w:b/>
        </w:rPr>
        <w:t>Services.</w:t>
      </w:r>
      <w:r>
        <w:t xml:space="preserve"> Marketplaces · Amazon Ads</w:t>
      </w:r>
    </w:p>
    <w:p>
      <w:r>
        <w:rPr>
          <w:b/>
        </w:rPr>
        <w:t>Period.</w:t>
      </w:r>
      <w:r>
        <w:t xml:space="preserve"> November 2024 – May 2025</w:t>
      </w:r>
    </w:p>
    <w:p>
      <w:pPr>
        <w:pStyle w:val="Heading3"/>
      </w:pPr>
      <w:r>
        <w:t>SECTION 4 — M4 THEIR STORY</w:t>
      </w:r>
    </w:p>
    <w:p>
      <w:r>
        <w:t>Eyebrow: Their story</w:t>
      </w:r>
    </w:p>
    <w:p>
      <w:pPr>
        <w:pStyle w:val="Heading2"/>
      </w:pPr>
      <w:r>
        <w:t>A global gaming brand entering a market it had never sold in</w:t>
      </w:r>
    </w:p>
    <w:p>
      <w:r>
        <w:t>MSI, a global gaming laptop brand, was already a Growisto client when Saudi Arabia was added as a new market, managed entirely through Amazon Ads.</w:t>
      </w:r>
    </w:p>
    <w:p>
      <w:r>
        <w:t>The Saudi launch was a zero-to-one project: no prior presence, no brand recognition, competing against established names like Apple and HP.</w:t>
      </w:r>
    </w:p>
    <w:p>
      <w:pPr>
        <w:pStyle w:val="Heading3"/>
      </w:pPr>
      <w:r>
        <w:t>SECTION 5 — M5 THE CHALLENGE</w:t>
      </w:r>
    </w:p>
    <w:p>
      <w:r>
        <w:t>Eyebrow: The challenge</w:t>
      </w:r>
    </w:p>
    <w:p>
      <w:pPr>
        <w:pStyle w:val="Heading2"/>
      </w:pPr>
      <w:r>
        <w:t>A new market with nothing to build on</w:t>
      </w:r>
    </w:p>
    <w:p>
      <w:r>
        <w:t>Launch MSI on Amazon Saudi Arabia from scratch with no sales history, reviews, or ranking, competing against globally established brands like Apple and HP.</w:t>
      </w:r>
    </w:p>
    <w:p>
      <w:r>
        <w:t>Constraint tiles: No sales history · No reviews · No ranking</w:t>
      </w:r>
    </w:p>
    <w:p>
      <w:r>
        <w:rPr>
          <w:b/>
        </w:rPr>
        <w:t>Objectives.</w:t>
      </w:r>
      <w:r>
        <w:t xml:space="preserve"> Evaluate the most effective campaign strategy through rigorous analysis of customer behavior, keyword demand, and competitor gaps. Execute a full-funnel advertising roadmap to drive profitable, scalable growth, and claim the #1 Best Seller Rank within 5 months.</w:t>
      </w:r>
    </w:p>
    <w:p>
      <w:pPr>
        <w:pStyle w:val="Heading3"/>
      </w:pPr>
      <w:r>
        <w:t>SECTION 6 — M6 THE SOLUTION</w:t>
      </w:r>
    </w:p>
    <w:p>
      <w:r>
        <w:t>Eyebrow: The solution</w:t>
      </w:r>
    </w:p>
    <w:p>
      <w:pPr>
        <w:pStyle w:val="Heading2"/>
      </w:pPr>
      <w:r>
        <w:t>A dual-language strategy, launched in compounding phases</w:t>
      </w:r>
    </w:p>
    <w:p>
      <w:r>
        <w:t>Three moves carried the launch: a keyword strategy no competitor was running, a campaign architecture built in deliberate stages, and scaling that was judged on profit rather than topline sales.</w:t>
      </w:r>
    </w:p>
    <w:p>
      <w:pPr>
        <w:pStyle w:val="Heading4"/>
      </w:pPr>
      <w:r>
        <w:t>01 The call — Competitors were running English-only campaigns in a bilingual search market</w:t>
      </w:r>
    </w:p>
    <w:p>
      <w:r>
        <w:t>That gap signaled scope to penetrate with a dual-language keyword strategy.</w:t>
      </w:r>
    </w:p>
    <w:p>
      <w:r>
        <w:t xml:space="preserve">Slot type: </w:t>
      </w:r>
      <w:r>
        <w:rPr>
          <w:b/>
        </w:rPr>
        <w:t>comparison table</w:t>
      </w:r>
    </w:p>
    <w:p>
      <w:r>
        <w:t>Column A: What competitors ran — English-only campaigns</w:t>
      </w:r>
    </w:p>
    <w:p>
      <w:r>
        <w:t>Column B: What Growisto built for MSI — Arabic + English Phrase Match targeting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Search term</w:t>
            </w:r>
          </w:p>
        </w:tc>
        <w:tc>
          <w:tcPr>
            <w:tcW w:type="dxa" w:w="3120"/>
          </w:tcPr>
          <w:p>
            <w:r>
              <w:rPr>
                <w:b/>
              </w:rPr>
            </w:r>
            <w:r>
              <w:rPr>
                <w:b/>
              </w:rPr>
              <w:t>What competitors ran</w:t>
            </w:r>
          </w:p>
        </w:tc>
        <w:tc>
          <w:tcPr>
            <w:tcW w:type="dxa" w:w="3120"/>
          </w:tcPr>
          <w:p>
            <w:r>
              <w:rPr>
                <w:b/>
              </w:rPr>
            </w:r>
            <w:r>
              <w:rPr>
                <w:b/>
              </w:rPr>
              <w:t>What Growisto built for MSI</w:t>
            </w:r>
          </w:p>
        </w:tc>
      </w:tr>
      <w:tr>
        <w:tc>
          <w:tcPr>
            <w:tcW w:type="dxa" w:w="3120"/>
          </w:tcPr>
          <w:p>
            <w:r/>
            <w:r>
              <w:t>[English search term]</w:t>
            </w:r>
          </w:p>
        </w:tc>
        <w:tc>
          <w:tcPr>
            <w:tcW w:type="dxa" w:w="3120"/>
          </w:tcPr>
          <w:p>
            <w:r/>
            <w:r>
              <w:t>Covered</w:t>
            </w:r>
          </w:p>
        </w:tc>
        <w:tc>
          <w:tcPr>
            <w:tcW w:type="dxa" w:w="3120"/>
          </w:tcPr>
          <w:p>
            <w:r/>
            <w:r>
              <w:t>Covered</w:t>
            </w:r>
          </w:p>
        </w:tc>
      </w:tr>
      <w:tr>
        <w:tc>
          <w:tcPr>
            <w:tcW w:type="dxa" w:w="3120"/>
          </w:tcPr>
          <w:p>
            <w:r/>
            <w:r>
              <w:t>[Arabic search term]</w:t>
            </w:r>
          </w:p>
        </w:tc>
        <w:tc>
          <w:tcPr>
            <w:tcW w:type="dxa" w:w="3120"/>
          </w:tcPr>
          <w:p>
            <w:r/>
            <w:r>
              <w:t>Not covered</w:t>
            </w:r>
          </w:p>
        </w:tc>
        <w:tc>
          <w:tcPr>
            <w:tcW w:type="dxa" w:w="3120"/>
          </w:tcPr>
          <w:p>
            <w:r/>
            <w:r>
              <w:t>Covered</w:t>
            </w:r>
          </w:p>
        </w:tc>
      </w:tr>
    </w:tbl>
    <w:p/>
    <w:p>
      <w:r>
        <w:t>Built to win on relevance, conversion efficiency, and cost-per-click. This approach is not standard practice in Saudi Arabia, and it was a key differentiator in MSI’s early traction.</w:t>
      </w:r>
    </w:p>
    <w:p>
      <w:pPr>
        <w:pStyle w:val="Heading4"/>
      </w:pPr>
      <w:r>
        <w:t>02 The build — Launched in deliberate stages</w:t>
      </w:r>
    </w:p>
    <w:p>
      <w:r>
        <w:t xml:space="preserve">Slot type: </w:t>
      </w:r>
      <w:r>
        <w:rPr>
          <w:b/>
        </w:rPr>
        <w:t>phase row</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Phase</w:t>
            </w:r>
          </w:p>
        </w:tc>
        <w:tc>
          <w:tcPr>
            <w:tcW w:type="dxa" w:w="2340"/>
          </w:tcPr>
          <w:p>
            <w:r>
              <w:rPr>
                <w:b/>
              </w:rPr>
            </w:r>
            <w:r>
              <w:rPr>
                <w:b/>
              </w:rPr>
              <w:t>Title</w:t>
            </w:r>
          </w:p>
        </w:tc>
        <w:tc>
          <w:tcPr>
            <w:tcW w:type="dxa" w:w="2340"/>
          </w:tcPr>
          <w:p>
            <w:r>
              <w:rPr>
                <w:b/>
              </w:rPr>
            </w:r>
            <w:r>
              <w:rPr>
                <w:b/>
              </w:rPr>
              <w:t>What it does</w:t>
            </w:r>
          </w:p>
        </w:tc>
        <w:tc>
          <w:tcPr>
            <w:tcW w:type="dxa" w:w="2340"/>
          </w:tcPr>
          <w:p>
            <w:r>
              <w:rPr>
                <w:b/>
              </w:rPr>
            </w:r>
            <w:r>
              <w:rPr>
                <w:b/>
              </w:rPr>
              <w:t>Tag</w:t>
            </w:r>
          </w:p>
        </w:tc>
      </w:tr>
      <w:tr>
        <w:tc>
          <w:tcPr>
            <w:tcW w:type="dxa" w:w="2340"/>
          </w:tcPr>
          <w:p>
            <w:r/>
            <w:r>
              <w:t>Phase 1</w:t>
            </w:r>
          </w:p>
        </w:tc>
        <w:tc>
          <w:tcPr>
            <w:tcW w:type="dxa" w:w="2340"/>
          </w:tcPr>
          <w:p>
            <w:r/>
            <w:r>
              <w:t>SP &amp; SD category targeting</w:t>
            </w:r>
          </w:p>
        </w:tc>
        <w:tc>
          <w:tcPr>
            <w:tcW w:type="dxa" w:w="2340"/>
          </w:tcPr>
          <w:p>
            <w:r/>
            <w:r>
              <w:t>Build relevance</w:t>
            </w:r>
          </w:p>
        </w:tc>
        <w:tc>
          <w:tcPr>
            <w:tcW w:type="dxa" w:w="2340"/>
          </w:tcPr>
          <w:p>
            <w:r/>
            <w:r>
              <w:t>Sponsored Products and Sponsored Display</w:t>
            </w:r>
          </w:p>
        </w:tc>
      </w:tr>
      <w:tr>
        <w:tc>
          <w:tcPr>
            <w:tcW w:type="dxa" w:w="2340"/>
          </w:tcPr>
          <w:p>
            <w:r/>
            <w:r>
              <w:t>Phase 2</w:t>
            </w:r>
          </w:p>
        </w:tc>
        <w:tc>
          <w:tcPr>
            <w:tcW w:type="dxa" w:w="2340"/>
          </w:tcPr>
          <w:p>
            <w:r/>
            <w:r>
              <w:t>SB campaigns</w:t>
            </w:r>
          </w:p>
        </w:tc>
        <w:tc>
          <w:tcPr>
            <w:tcW w:type="dxa" w:w="2340"/>
          </w:tcPr>
          <w:p>
            <w:r/>
            <w:r>
              <w:t>Top-of-search awareness</w:t>
            </w:r>
          </w:p>
        </w:tc>
        <w:tc>
          <w:tcPr>
            <w:tcW w:type="dxa" w:w="2340"/>
          </w:tcPr>
          <w:p>
            <w:r/>
            <w:r>
              <w:t>Sponsored Brands</w:t>
            </w:r>
          </w:p>
        </w:tc>
      </w:tr>
      <w:tr>
        <w:tc>
          <w:tcPr>
            <w:tcW w:type="dxa" w:w="2340"/>
          </w:tcPr>
          <w:p>
            <w:r/>
            <w:r>
              <w:t>Phase 3</w:t>
            </w:r>
          </w:p>
        </w:tc>
        <w:tc>
          <w:tcPr>
            <w:tcW w:type="dxa" w:w="2340"/>
          </w:tcPr>
          <w:p>
            <w:r/>
            <w:r>
              <w:t>Remarketing &amp; cross-sell</w:t>
            </w:r>
          </w:p>
        </w:tc>
        <w:tc>
          <w:tcPr>
            <w:tcW w:type="dxa" w:w="2340"/>
          </w:tcPr>
          <w:p>
            <w:r/>
            <w:r>
              <w:t>Retain shoppers</w:t>
            </w:r>
          </w:p>
        </w:tc>
        <w:tc>
          <w:tcPr>
            <w:tcW w:type="dxa" w:w="2340"/>
          </w:tcPr>
          <w:p>
            <w:r/>
            <w:r>
              <w:t>—</w:t>
            </w:r>
          </w:p>
        </w:tc>
      </w:tr>
      <w:tr>
        <w:tc>
          <w:tcPr>
            <w:tcW w:type="dxa" w:w="2340"/>
          </w:tcPr>
          <w:p>
            <w:r/>
            <w:r>
              <w:t>Phase 4</w:t>
            </w:r>
          </w:p>
        </w:tc>
        <w:tc>
          <w:tcPr>
            <w:tcW w:type="dxa" w:w="2340"/>
          </w:tcPr>
          <w:p>
            <w:r/>
            <w:r>
              <w:t>Direct competitor targeting</w:t>
            </w:r>
          </w:p>
        </w:tc>
        <w:tc>
          <w:tcPr>
            <w:tcW w:type="dxa" w:w="2340"/>
          </w:tcPr>
          <w:p>
            <w:r/>
            <w:r>
              <w:t>Capture share from Apple and HP</w:t>
            </w:r>
          </w:p>
        </w:tc>
        <w:tc>
          <w:tcPr>
            <w:tcW w:type="dxa" w:w="2340"/>
          </w:tcPr>
          <w:p>
            <w:r/>
            <w:r>
              <w:t>—</w:t>
            </w:r>
          </w:p>
        </w:tc>
      </w:tr>
    </w:tbl>
    <w:p/>
    <w:p>
      <w:r>
        <w:t>Each phase compounded the last. No budget wasted.</w:t>
      </w:r>
    </w:p>
    <w:p>
      <w:pPr>
        <w:pStyle w:val="Heading4"/>
      </w:pPr>
      <w:r>
        <w:t>03 The real test — Optimized for ROAS throughout, not just topline sales</w:t>
      </w:r>
    </w:p>
    <w:p>
      <w:r>
        <w:t>Sustaining a ROAS of 81 in the electronics category matters beyond the number itself: once MSI generated demand in the category, competitors responded aggressively. Maintaining efficiency under that pressure was the real test.</w:t>
      </w:r>
    </w:p>
    <w:p>
      <w:r>
        <w:t xml:space="preserve">Slot type: </w:t>
      </w:r>
      <w:r>
        <w:rPr>
          <w:b/>
        </w:rPr>
        <w:t>time series</w:t>
      </w:r>
    </w:p>
    <w:p>
      <w:r>
        <w:t>Axis: Nov 2024 → Competitors respond → May 2025</w:t>
      </w:r>
    </w:p>
    <w:p>
      <w:r>
        <w:t>Caption: Illustrative shape only — real weekly ROAS and ad sales export pending</w:t>
      </w:r>
    </w:p>
    <w:p>
      <w:pPr>
        <w:pStyle w:val="Heading3"/>
      </w:pPr>
      <w:r>
        <w:t>SECTION 7 — M7 THE OUTCOME</w:t>
      </w:r>
    </w:p>
    <w:p>
      <w:r>
        <w:t>Eyebrow: The outcome</w:t>
      </w:r>
    </w:p>
    <w:p>
      <w:pPr>
        <w:pStyle w:val="Heading2"/>
      </w:pPr>
      <w:r>
        <w:t>What changed beyond ad sales</w:t>
      </w:r>
    </w:p>
    <w:p>
      <w:r>
        <w:t xml:space="preserve">Headline stat: </w:t>
      </w:r>
      <w:r>
        <w:rPr>
          <w:b/>
        </w:rPr>
        <w:t>2 SKUs</w:t>
      </w:r>
    </w:p>
    <w:p>
      <w:r>
        <w:t>In Top 10 BSR simultaneously. BSR is a product’s Best Seller Rank within its category, reflecting relative sales velocity vs. competitors.</w:t>
      </w:r>
    </w:p>
    <w:p>
      <w:r>
        <w:t>Source line: [Category node and date observed]</w:t>
      </w:r>
    </w:p>
    <w:p>
      <w:r>
        <w:t>Second outcome: [Second non-headline outcome, e.g. organic sales lift or review velocity. Only if sourced]</w:t>
      </w:r>
    </w:p>
    <w:p>
      <w:pPr>
        <w:pStyle w:val="Heading3"/>
      </w:pPr>
      <w:r>
        <w:t>SECTION 8 — M8 VOICE</w:t>
      </w:r>
    </w:p>
    <w:tbl>
      <w:tblPr>
        <w:tblStyle w:val="TableGrid"/>
        <w:tblW w:type="auto" w:w="0"/>
        <w:tblLook w:firstColumn="1" w:firstRow="1" w:lastColumn="0" w:lastRow="0" w:noHBand="0" w:noVBand="1" w:val="04A0"/>
      </w:tblPr>
      <w:tblGrid>
        <w:gridCol w:w="9360"/>
      </w:tblGrid>
      <w:tr>
        <w:tc>
          <w:tcPr>
            <w:tcW w:type="dxa" w:w="9360"/>
          </w:tcPr>
          <w:p>
            <w:r>
              <w:rPr>
                <w:b/>
              </w:rPr>
            </w:r>
            <w:r>
              <w:rPr>
                <w:b/>
              </w:rPr>
              <w:t>NOTE: No cleared quote in the source set. Request via ops or omit the module.</w:t>
            </w:r>
          </w:p>
        </w:tc>
      </w:tr>
    </w:tbl>
    <w:p/>
    <w:p>
      <w:r>
        <w:t>Placeholder: [Cleared quote from MSI. None in the source set — request via Salama, or omit this module]</w:t>
      </w:r>
    </w:p>
    <w:p>
      <w:r>
        <w:t>Attribution: [Name], [Role], MSI</w:t>
      </w:r>
    </w:p>
    <w:p/>
    <w:p>
      <w:pPr>
        <w:pStyle w:val="Heading1"/>
      </w:pPr>
      <w:r>
        <w:t>CASE STUDY 2 — POWERLOOK</w:t>
      </w:r>
    </w:p>
    <w:p>
      <w:r>
        <w:rPr>
          <w:b/>
        </w:rPr>
        <w:t>Prototype:</w:t>
      </w:r>
      <w:r>
        <w:t xml:space="preserve"> https://salamaudi-dev.github.io/website-pages/landing-pages/outputs/case-study-powerlook-brand.html</w:t>
      </w:r>
    </w:p>
    <w:p>
      <w:r>
        <w:rPr>
          <w:b/>
        </w:rPr>
        <w:t>Breadcrumb:</w:t>
      </w:r>
      <w:r>
        <w:t xml:space="preserve"> Resources › Case studies › Website &amp; Tech, CRO</w:t>
      </w:r>
    </w:p>
    <w:p>
      <w:pPr>
        <w:pStyle w:val="Heading3"/>
      </w:pPr>
      <w:r>
        <w:t>SECTION 1 — M1 HERO</w:t>
      </w:r>
    </w:p>
    <w:p>
      <w:r>
        <w:t>Brand badge: Powerlook</w:t>
      </w:r>
    </w:p>
    <w:p>
      <w:r>
        <w:t>Kicker: Powerlook, a premium men’s fashion brand</w:t>
      </w:r>
    </w:p>
    <w:p>
      <w:pPr>
        <w:pStyle w:val="Heading1"/>
      </w:pPr>
      <w:r>
        <w:t>How Powerlook Recovered $105K+ a Month by Migrating Off a Platform That Kept Going Down</w:t>
      </w:r>
    </w:p>
    <w:p>
      <w:r>
        <w:t>Powerlook’s Magento and React platform was bleeding roughly $105K every month in lost revenue through crashes and downtime. The question was not whether to move, but which platform could survive a festive peak, and whether a migration that size could run without taking the store offline.</w:t>
      </w:r>
    </w:p>
    <w:p>
      <w:r>
        <w:t>Byline: Written by Growisto · 15th Jun 2025</w:t>
      </w:r>
    </w:p>
    <w:p>
      <w:r>
        <w:t>Figure: Dummy image — replace with client-cleared Powerlook asset</w:t>
      </w:r>
    </w:p>
    <w:p>
      <w:pPr>
        <w:pStyle w:val="Heading3"/>
      </w:pPr>
      <w:r>
        <w:t>SECTION 2 — M2 RESULTS</w:t>
      </w:r>
    </w:p>
    <w:p>
      <w:pPr>
        <w:pStyle w:val="Heading2"/>
      </w:pPr>
      <w:r>
        <w:t>Results</w:t>
      </w:r>
    </w:p>
    <w:p>
      <w:r>
        <w:t>Period label: Migration delivered in 3 months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Stat</w:t>
            </w:r>
          </w:p>
        </w:tc>
        <w:tc>
          <w:tcPr>
            <w:tcW w:type="dxa" w:w="3120"/>
          </w:tcPr>
          <w:p>
            <w:r>
              <w:rPr>
                <w:b/>
              </w:rPr>
            </w:r>
            <w:r>
              <w:rPr>
                <w:b/>
              </w:rPr>
              <w:t>Label</w:t>
            </w:r>
          </w:p>
        </w:tc>
        <w:tc>
          <w:tcPr>
            <w:tcW w:type="dxa" w:w="3120"/>
          </w:tcPr>
          <w:p>
            <w:r>
              <w:rPr>
                <w:b/>
              </w:rPr>
            </w:r>
            <w:r>
              <w:rPr>
                <w:b/>
              </w:rPr>
              <w:t>Explainer</w:t>
            </w:r>
          </w:p>
        </w:tc>
      </w:tr>
      <w:tr>
        <w:tc>
          <w:tcPr>
            <w:tcW w:type="dxa" w:w="3120"/>
          </w:tcPr>
          <w:p>
            <w:r/>
            <w:r>
              <w:rPr>
                <w:b/>
              </w:rPr>
              <w:t>$105K+</w:t>
            </w:r>
          </w:p>
        </w:tc>
        <w:tc>
          <w:tcPr>
            <w:tcW w:type="dxa" w:w="3120"/>
          </w:tcPr>
          <w:p>
            <w:r/>
            <w:r>
              <w:t>Monthly lost revenue recovered</w:t>
            </w:r>
          </w:p>
        </w:tc>
        <w:tc>
          <w:tcPr>
            <w:tcW w:type="dxa" w:w="3120"/>
          </w:tcPr>
          <w:p>
            <w:r/>
            <w:r>
              <w:t>Revenue previously lost to crashes and downtime, converted from the source figure in INR</w:t>
            </w:r>
          </w:p>
        </w:tc>
      </w:tr>
      <w:tr>
        <w:tc>
          <w:tcPr>
            <w:tcW w:type="dxa" w:w="3120"/>
          </w:tcPr>
          <w:p>
            <w:r/>
            <w:r>
              <w:rPr>
                <w:b/>
              </w:rPr>
              <w:t>80%</w:t>
            </w:r>
          </w:p>
        </w:tc>
        <w:tc>
          <w:tcPr>
            <w:tcW w:type="dxa" w:w="3120"/>
          </w:tcPr>
          <w:p>
            <w:r/>
            <w:r>
              <w:t>Revenue growth vs the previous festive season</w:t>
            </w:r>
          </w:p>
        </w:tc>
        <w:tc>
          <w:tcPr>
            <w:tcW w:type="dxa" w:w="3120"/>
          </w:tcPr>
          <w:p>
            <w:r/>
            <w:r>
              <w:t>Measured against the same period on the old platform</w:t>
            </w:r>
          </w:p>
        </w:tc>
      </w:tr>
      <w:tr>
        <w:tc>
          <w:tcPr>
            <w:tcW w:type="dxa" w:w="3120"/>
          </w:tcPr>
          <w:p>
            <w:r/>
            <w:r>
              <w:rPr>
                <w:b/>
              </w:rPr>
              <w:t>11%</w:t>
            </w:r>
          </w:p>
        </w:tc>
        <w:tc>
          <w:tcPr>
            <w:tcW w:type="dxa" w:w="3120"/>
          </w:tcPr>
          <w:p>
            <w:r/>
            <w:r>
              <w:t>Conversion rate improvement</w:t>
            </w:r>
          </w:p>
        </w:tc>
        <w:tc>
          <w:tcPr>
            <w:tcW w:type="dxa" w:w="3120"/>
          </w:tcPr>
          <w:p>
            <w:r/>
            <w:r>
              <w:t>Post-migration, with CRO folded into the rebuild</w:t>
            </w:r>
          </w:p>
        </w:tc>
      </w:tr>
      <w:tr>
        <w:tc>
          <w:tcPr>
            <w:tcW w:type="dxa" w:w="3120"/>
          </w:tcPr>
          <w:p>
            <w:r/>
            <w:r>
              <w:rPr>
                <w:b/>
              </w:rPr>
              <w:t>50%</w:t>
            </w:r>
          </w:p>
        </w:tc>
        <w:tc>
          <w:tcPr>
            <w:tcW w:type="dxa" w:w="3120"/>
          </w:tcPr>
          <w:p>
            <w:r/>
            <w:r>
              <w:t>Reduction in operational costs</w:t>
            </w:r>
          </w:p>
        </w:tc>
        <w:tc>
          <w:tcPr>
            <w:tcW w:type="dxa" w:w="3120"/>
          </w:tcPr>
          <w:p>
            <w:r/>
            <w:r>
              <w:t>Platform and maintenance overhead</w:t>
            </w:r>
          </w:p>
        </w:tc>
      </w:tr>
    </w:tbl>
    <w:p/>
    <w:p>
      <w:r>
        <w:t>Link: How these numbers were measured</w:t>
      </w:r>
    </w:p>
    <w:p>
      <w:pPr>
        <w:pStyle w:val="Heading3"/>
      </w:pPr>
      <w:r>
        <w:t>SECTION 3 — M3 STICKY CASE PANEL</w:t>
      </w:r>
    </w:p>
    <w:p>
      <w:r>
        <w:rPr>
          <w:b/>
        </w:rPr>
        <w:t>About.</w:t>
      </w:r>
      <w:r>
        <w:t xml:space="preserve"> Powerlook is a premium men’s fashion brand in India. It came to Growisto with a platform problem, not a growth problem: the store it already had could not stay up.</w:t>
      </w:r>
    </w:p>
    <w:p>
      <w:r>
        <w:rPr>
          <w:b/>
        </w:rPr>
        <w:t>Services.</w:t>
      </w:r>
      <w:r>
        <w:t xml:space="preserve"> Website &amp; Tech · CRO</w:t>
      </w:r>
    </w:p>
    <w:p>
      <w:r>
        <w:rPr>
          <w:b/>
        </w:rPr>
        <w:t>Period.</w:t>
      </w:r>
      <w:r>
        <w:t xml:space="preserve"> 3-month migration</w:t>
      </w:r>
    </w:p>
    <w:p>
      <w:pPr>
        <w:pStyle w:val="Heading3"/>
      </w:pPr>
      <w:r>
        <w:t>SECTION 4 — M4 THEIR STORY</w:t>
      </w:r>
    </w:p>
    <w:p>
      <w:r>
        <w:t>Eyebrow: Their story</w:t>
      </w:r>
    </w:p>
    <w:p>
      <w:pPr>
        <w:pStyle w:val="Heading2"/>
      </w:pPr>
      <w:r>
        <w:t>A growing brand held back by the platform underneath it</w:t>
      </w:r>
    </w:p>
    <w:p>
      <w:r>
        <w:t>Powerlook had demand. What it did not have was a storefront that could absorb it. The Magento and React stack crashed under load, and every hour of downtime came straight off revenue.</w:t>
      </w:r>
    </w:p>
    <w:p>
      <w:r>
        <w:t>At roughly $105K a month in lost sales, the cost of staying put had already passed the cost of moving. The risk was that a migration done badly would cost even more.</w:t>
      </w:r>
    </w:p>
    <w:p>
      <w:pPr>
        <w:pStyle w:val="Heading3"/>
      </w:pPr>
      <w:r>
        <w:t>SECTION 5 — M5 THE CHALLENGE</w:t>
      </w:r>
    </w:p>
    <w:p>
      <w:r>
        <w:t>Eyebrow: The challenge</w:t>
      </w:r>
    </w:p>
    <w:p>
      <w:pPr>
        <w:pStyle w:val="Heading2"/>
      </w:pPr>
      <w:r>
        <w:t>Replace the platform without losing a day of trading</w:t>
      </w:r>
    </w:p>
    <w:p>
      <w:r>
        <w:t>Rescue a failing platform bleeding roughly $105K monthly, evaluate the best platform options through rigorous analysis, and execute a complete migration within three months with zero downtime.</w:t>
      </w:r>
    </w:p>
    <w:p>
      <w:r>
        <w:t>Constraint tiles: Crashes under load · Revenue lost monthly · Festive peak approaching</w:t>
      </w:r>
    </w:p>
    <w:p>
      <w:r>
        <w:rPr>
          <w:b/>
        </w:rPr>
        <w:t>Objectives.</w:t>
      </w:r>
      <w:r>
        <w:t xml:space="preserve"> Choose the platform on evidence rather than preference, align every team on that choice before a line of code was written, and treat the migration as a conversion opportunity rather than a like-for-like port.</w:t>
      </w:r>
    </w:p>
    <w:p>
      <w:pPr>
        <w:pStyle w:val="Heading3"/>
      </w:pPr>
      <w:r>
        <w:t>SECTION 6 — M6 THE SOLUTION</w:t>
      </w:r>
    </w:p>
    <w:p>
      <w:r>
        <w:t>Eyebrow: The solution</w:t>
      </w:r>
    </w:p>
    <w:p>
      <w:pPr>
        <w:pStyle w:val="Heading2"/>
      </w:pPr>
      <w:r>
        <w:t>Evidence first, alignment second, migration third</w:t>
      </w:r>
    </w:p>
    <w:p>
      <w:r>
        <w:t>Three moves carried the rebuild: a platform decision made on measured criteria, a planning phase that removed disagreement before the build, and a migration that carried a CRO roadmap with it.</w:t>
      </w:r>
    </w:p>
    <w:p>
      <w:pPr>
        <w:pStyle w:val="Heading4"/>
      </w:pPr>
      <w:r>
        <w:t>01 The call — The platform was chosen on measured criteria, not preference</w:t>
      </w:r>
    </w:p>
    <w:p>
      <w:r>
        <w:t>Three candidates were compared on performance, scalability, and total cost of ownership.</w:t>
      </w:r>
    </w:p>
    <w:p>
      <w:r>
        <w:t xml:space="preserve">Slot type: </w:t>
      </w:r>
      <w:r>
        <w:rPr>
          <w:b/>
        </w:rPr>
        <w:t>comparison table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Option</w:t>
            </w:r>
          </w:p>
        </w:tc>
        <w:tc>
          <w:tcPr>
            <w:tcW w:type="dxa" w:w="3120"/>
          </w:tcPr>
          <w:p>
            <w:r>
              <w:rPr>
                <w:b/>
              </w:rPr>
            </w:r>
            <w:r>
              <w:rPr>
                <w:b/>
              </w:rPr>
              <w:t>Assessment</w:t>
            </w:r>
          </w:p>
        </w:tc>
        <w:tc>
          <w:tcPr>
            <w:tcW w:type="dxa" w:w="3120"/>
          </w:tcPr>
          <w:p>
            <w:r>
              <w:rPr>
                <w:b/>
              </w:rPr>
            </w:r>
            <w:r>
              <w:rPr>
                <w:b/>
              </w:rPr>
              <w:t>Outcome</w:t>
            </w:r>
          </w:p>
        </w:tc>
      </w:tr>
      <w:tr>
        <w:tc>
          <w:tcPr>
            <w:tcW w:type="dxa" w:w="3120"/>
          </w:tcPr>
          <w:p>
            <w:r/>
            <w:r>
              <w:t>Magento Headless</w:t>
            </w:r>
          </w:p>
        </w:tc>
        <w:tc>
          <w:tcPr>
            <w:tcW w:type="dxa" w:w="3120"/>
          </w:tcPr>
          <w:p>
            <w:r/>
            <w:r>
              <w:t>Familiar stack, unchanged cost profile</w:t>
            </w:r>
          </w:p>
        </w:tc>
        <w:tc>
          <w:tcPr>
            <w:tcW w:type="dxa" w:w="3120"/>
          </w:tcPr>
          <w:p>
            <w:r/>
            <w:r>
              <w:t>Not selected</w:t>
            </w:r>
          </w:p>
        </w:tc>
      </w:tr>
      <w:tr>
        <w:tc>
          <w:tcPr>
            <w:tcW w:type="dxa" w:w="3120"/>
          </w:tcPr>
          <w:p>
            <w:r/>
            <w:r>
              <w:t>Shopify Plus Headless</w:t>
            </w:r>
          </w:p>
        </w:tc>
        <w:tc>
          <w:tcPr>
            <w:tcW w:type="dxa" w:w="3120"/>
          </w:tcPr>
          <w:p>
            <w:r/>
            <w:r>
              <w:t>Strong performance, highest build cost</w:t>
            </w:r>
          </w:p>
        </w:tc>
        <w:tc>
          <w:tcPr>
            <w:tcW w:type="dxa" w:w="3120"/>
          </w:tcPr>
          <w:p>
            <w:r/>
            <w:r>
              <w:t>Not selected</w:t>
            </w:r>
          </w:p>
        </w:tc>
      </w:tr>
      <w:tr>
        <w:tc>
          <w:tcPr>
            <w:tcW w:type="dxa" w:w="3120"/>
          </w:tcPr>
          <w:p>
            <w:r/>
            <w:r>
              <w:t>Shopify Plus</w:t>
            </w:r>
          </w:p>
        </w:tc>
        <w:tc>
          <w:tcPr>
            <w:tcW w:type="dxa" w:w="3120"/>
          </w:tcPr>
          <w:p>
            <w:r/>
            <w:r>
              <w:t>Best balance of performance, scale and TCO</w:t>
            </w:r>
          </w:p>
        </w:tc>
        <w:tc>
          <w:tcPr>
            <w:tcW w:type="dxa" w:w="3120"/>
          </w:tcPr>
          <w:p>
            <w:r/>
            <w:r>
              <w:t>Selected</w:t>
            </w:r>
          </w:p>
        </w:tc>
      </w:tr>
    </w:tbl>
    <w:p/>
    <w:p>
      <w:r>
        <w:t>The comparison ran across performance, scalability, and total cost of ownership. Shopify Plus won on the combination, not on any single axis.</w:t>
      </w:r>
    </w:p>
    <w:p>
      <w:pPr>
        <w:pStyle w:val="Heading4"/>
      </w:pPr>
      <w:r>
        <w:t>02 The build — Planned until there was nothing left to argue about</w:t>
      </w:r>
    </w:p>
    <w:p>
      <w:r>
        <w:t xml:space="preserve">Slot type: </w:t>
      </w:r>
      <w:r>
        <w:rPr>
          <w:b/>
        </w:rPr>
        <w:t>phase row</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Phase</w:t>
            </w:r>
          </w:p>
        </w:tc>
        <w:tc>
          <w:tcPr>
            <w:tcW w:type="dxa" w:w="2340"/>
          </w:tcPr>
          <w:p>
            <w:r>
              <w:rPr>
                <w:b/>
              </w:rPr>
            </w:r>
            <w:r>
              <w:rPr>
                <w:b/>
              </w:rPr>
              <w:t>Title</w:t>
            </w:r>
          </w:p>
        </w:tc>
        <w:tc>
          <w:tcPr>
            <w:tcW w:type="dxa" w:w="2340"/>
          </w:tcPr>
          <w:p>
            <w:r>
              <w:rPr>
                <w:b/>
              </w:rPr>
            </w:r>
            <w:r>
              <w:rPr>
                <w:b/>
              </w:rPr>
              <w:t>What it does</w:t>
            </w:r>
          </w:p>
        </w:tc>
        <w:tc>
          <w:tcPr>
            <w:tcW w:type="dxa" w:w="2340"/>
          </w:tcPr>
          <w:p>
            <w:r>
              <w:rPr>
                <w:b/>
              </w:rPr>
            </w:r>
            <w:r>
              <w:rPr>
                <w:b/>
              </w:rPr>
              <w:t>Tag</w:t>
            </w:r>
          </w:p>
        </w:tc>
      </w:tr>
      <w:tr>
        <w:tc>
          <w:tcPr>
            <w:tcW w:type="dxa" w:w="2340"/>
          </w:tcPr>
          <w:p>
            <w:r/>
            <w:r>
              <w:t>Phase 1</w:t>
            </w:r>
          </w:p>
        </w:tc>
        <w:tc>
          <w:tcPr>
            <w:tcW w:type="dxa" w:w="2340"/>
          </w:tcPr>
          <w:p>
            <w:r/>
            <w:r>
              <w:t>Platform evaluation</w:t>
            </w:r>
          </w:p>
        </w:tc>
        <w:tc>
          <w:tcPr>
            <w:tcW w:type="dxa" w:w="2340"/>
          </w:tcPr>
          <w:p>
            <w:r/>
            <w:r>
              <w:t>Compare the three candidates on measured criteria</w:t>
            </w:r>
          </w:p>
        </w:tc>
        <w:tc>
          <w:tcPr>
            <w:tcW w:type="dxa" w:w="2340"/>
          </w:tcPr>
          <w:p>
            <w:r/>
            <w:r>
              <w:t>Performance, scalability, TCO</w:t>
            </w:r>
          </w:p>
        </w:tc>
      </w:tr>
      <w:tr>
        <w:tc>
          <w:tcPr>
            <w:tcW w:type="dxa" w:w="2340"/>
          </w:tcPr>
          <w:p>
            <w:r/>
            <w:r>
              <w:t>Phase 2</w:t>
            </w:r>
          </w:p>
        </w:tc>
        <w:tc>
          <w:tcPr>
            <w:tcW w:type="dxa" w:w="2340"/>
          </w:tcPr>
          <w:p>
            <w:r/>
            <w:r>
              <w:t>Alignment</w:t>
            </w:r>
          </w:p>
        </w:tc>
        <w:tc>
          <w:tcPr>
            <w:tcW w:type="dxa" w:w="2340"/>
          </w:tcPr>
          <w:p>
            <w:r/>
            <w:r>
              <w:t>Multiple sessions with tech, marketing and management</w:t>
            </w:r>
          </w:p>
        </w:tc>
        <w:tc>
          <w:tcPr>
            <w:tcW w:type="dxa" w:w="2340"/>
          </w:tcPr>
          <w:p>
            <w:r/>
            <w:r>
              <w:t>One agreed scope</w:t>
            </w:r>
          </w:p>
        </w:tc>
      </w:tr>
      <w:tr>
        <w:tc>
          <w:tcPr>
            <w:tcW w:type="dxa" w:w="2340"/>
          </w:tcPr>
          <w:p>
            <w:r/>
            <w:r>
              <w:t>Phase 3</w:t>
            </w:r>
          </w:p>
        </w:tc>
        <w:tc>
          <w:tcPr>
            <w:tcW w:type="dxa" w:w="2340"/>
          </w:tcPr>
          <w:p>
            <w:r/>
            <w:r>
              <w:t>Migration with CRO</w:t>
            </w:r>
          </w:p>
        </w:tc>
        <w:tc>
          <w:tcPr>
            <w:tcW w:type="dxa" w:w="2340"/>
          </w:tcPr>
          <w:p>
            <w:r/>
            <w:r>
              <w:t>Rebuild against a conversion roadmap, not a like-for-like port</w:t>
            </w:r>
          </w:p>
        </w:tc>
        <w:tc>
          <w:tcPr>
            <w:tcW w:type="dxa" w:w="2340"/>
          </w:tcPr>
          <w:p>
            <w:r/>
            <w:r>
              <w:t>—</w:t>
            </w:r>
          </w:p>
        </w:tc>
      </w:tr>
      <w:tr>
        <w:tc>
          <w:tcPr>
            <w:tcW w:type="dxa" w:w="2340"/>
          </w:tcPr>
          <w:p>
            <w:r/>
            <w:r>
              <w:t>Phase 4</w:t>
            </w:r>
          </w:p>
        </w:tc>
        <w:tc>
          <w:tcPr>
            <w:tcW w:type="dxa" w:w="2340"/>
          </w:tcPr>
          <w:p>
            <w:r/>
            <w:r>
              <w:t>Launch</w:t>
            </w:r>
          </w:p>
        </w:tc>
        <w:tc>
          <w:tcPr>
            <w:tcW w:type="dxa" w:w="2340"/>
          </w:tcPr>
          <w:p>
            <w:r/>
            <w:r>
              <w:t>Full Shopify Plus platform live in three months</w:t>
            </w:r>
          </w:p>
        </w:tc>
        <w:tc>
          <w:tcPr>
            <w:tcW w:type="dxa" w:w="2340"/>
          </w:tcPr>
          <w:p>
            <w:r/>
            <w:r>
              <w:t>Zero downtime, zero bugs</w:t>
            </w:r>
          </w:p>
        </w:tc>
      </w:tr>
    </w:tbl>
    <w:p/>
    <w:p>
      <w:r>
        <w:t>Disagreement was resolved before the build, not during it.</w:t>
      </w:r>
    </w:p>
    <w:p>
      <w:pPr>
        <w:pStyle w:val="Heading4"/>
      </w:pPr>
      <w:r>
        <w:t>03 The real test — The festive season, on a platform three months old</w:t>
      </w:r>
    </w:p>
    <w:p>
      <w:r>
        <w:t>A migration is only proven under load. Powerlook’s first festive season on Shopify Plus ran 80% ahead of the same period on the old platform, which is the number that matters: the peak that used to take the store down became the peak it grew through.</w:t>
      </w:r>
    </w:p>
    <w:p>
      <w:r>
        <w:t xml:space="preserve">Slot type: </w:t>
      </w:r>
      <w:r>
        <w:rPr>
          <w:b/>
        </w:rPr>
        <w:t>time series</w:t>
      </w:r>
    </w:p>
    <w:p>
      <w:r>
        <w:t>Axis: Pre-migration → Launch → Festive season</w:t>
      </w:r>
    </w:p>
    <w:p>
      <w:r>
        <w:t>Caption: Illustrative shape only — real revenue export pending</w:t>
      </w:r>
    </w:p>
    <w:p>
      <w:pPr>
        <w:pStyle w:val="Heading3"/>
      </w:pPr>
      <w:r>
        <w:t>SECTION 7 — M7 THE OUTCOME</w:t>
      </w:r>
    </w:p>
    <w:p>
      <w:r>
        <w:t>Eyebrow: The outcome</w:t>
      </w:r>
    </w:p>
    <w:p>
      <w:pPr>
        <w:pStyle w:val="Heading2"/>
      </w:pPr>
      <w:r>
        <w:t>What changed beyond the revenue line</w:t>
      </w:r>
    </w:p>
    <w:p>
      <w:r>
        <w:t xml:space="preserve">Headline stat: </w:t>
      </w:r>
      <w:r>
        <w:rPr>
          <w:b/>
        </w:rPr>
        <w:t>ZERO</w:t>
      </w:r>
    </w:p>
    <w:p>
      <w:r>
        <w:t>Downtime through the cutover, and zero bugs at launch. The migration completed inside the three-month window with no trading day lost.</w:t>
      </w:r>
    </w:p>
    <w:p>
      <w:r>
        <w:t>Source line: [Cutover date and monitoring window to be confirmed]</w:t>
      </w:r>
    </w:p>
    <w:p>
      <w:r>
        <w:t>Second outcome: Operational costs fell 50% after the move, which compounds every month the platform runs.</w:t>
      </w:r>
    </w:p>
    <w:p>
      <w:pPr>
        <w:pStyle w:val="Heading3"/>
      </w:pPr>
      <w:r>
        <w:t>SECTION 8 — M8 VOICE</w:t>
      </w:r>
    </w:p>
    <w:tbl>
      <w:tblPr>
        <w:tblStyle w:val="TableGrid"/>
        <w:tblW w:type="auto" w:w="0"/>
        <w:tblLook w:firstColumn="1" w:firstRow="1" w:lastColumn="0" w:lastRow="0" w:noHBand="0" w:noVBand="1" w:val="04A0"/>
      </w:tblPr>
      <w:tblGrid>
        <w:gridCol w:w="9360"/>
      </w:tblGrid>
      <w:tr>
        <w:tc>
          <w:tcPr>
            <w:tcW w:type="dxa" w:w="9360"/>
          </w:tcPr>
          <w:p>
            <w:r>
              <w:rPr>
                <w:b/>
              </w:rPr>
            </w:r>
            <w:r>
              <w:rPr>
                <w:b/>
              </w:rPr>
              <w:t>NOTE: No cleared quote in the source set. Request via ops or omit the module.</w:t>
            </w:r>
          </w:p>
        </w:tc>
      </w:tr>
    </w:tbl>
    <w:p/>
    <w:p>
      <w:r>
        <w:t>Placeholder: [No cleared quote from Powerlook in the source set — request via Salama, or omit this module]</w:t>
      </w:r>
    </w:p>
    <w:p>
      <w:r>
        <w:t>Attribution: [Name], [Role], Powerlook</w:t>
      </w:r>
    </w:p>
    <w:p/>
    <w:p>
      <w:pPr>
        <w:pStyle w:val="Heading1"/>
      </w:pPr>
      <w:r>
        <w:t>CASE STUDY 3 — AVAANA</w:t>
      </w:r>
    </w:p>
    <w:p>
      <w:r>
        <w:rPr>
          <w:b/>
        </w:rPr>
        <w:t>Prototype:</w:t>
      </w:r>
      <w:r>
        <w:t xml:space="preserve"> https://salamaudi-dev.github.io/website-pages/landing-pages/outputs/case-study-avaana-brand.html</w:t>
      </w:r>
    </w:p>
    <w:p>
      <w:r>
        <w:rPr>
          <w:b/>
        </w:rPr>
        <w:t>Breadcrumb:</w:t>
      </w:r>
      <w:r>
        <w:t xml:space="preserve"> Resources › Case studies › GEO, AIO &amp; SEO</w:t>
      </w:r>
    </w:p>
    <w:p>
      <w:pPr>
        <w:pStyle w:val="Heading3"/>
      </w:pPr>
      <w:r>
        <w:t>SECTION 1 — M1 HERO</w:t>
      </w:r>
    </w:p>
    <w:p>
      <w:r>
        <w:t>Brand badge: Avaana</w:t>
      </w:r>
    </w:p>
    <w:p>
      <w:r>
        <w:t>Kicker: Avaana, an Australian NDIS registration consultancy</w:t>
      </w:r>
    </w:p>
    <w:p>
      <w:pPr>
        <w:pStyle w:val="Heading1"/>
      </w:pPr>
      <w:r>
        <w:t>How Avaana Grew Non-Brand Clicks 32x and Returned 13x on SEO and GEO</w:t>
      </w:r>
    </w:p>
    <w:p>
      <w:r>
        <w:t>Avaana helps Australian businesses through NDIS provider registration and growth. Almost all of its search visibility was branded, which meant it could only be found by people who already knew the name. The work was to build demand from people who did not.</w:t>
      </w:r>
    </w:p>
    <w:p>
      <w:r>
        <w:t>Byline: Written by Growisto · 15th Jun 2025</w:t>
      </w:r>
    </w:p>
    <w:p>
      <w:r>
        <w:t>Figure: Dummy image — replace with client-cleared Avaana asset</w:t>
      </w:r>
    </w:p>
    <w:p>
      <w:pPr>
        <w:pStyle w:val="Heading3"/>
      </w:pPr>
      <w:r>
        <w:t>SECTION 2 — M2 RESULTS</w:t>
      </w:r>
    </w:p>
    <w:p>
      <w:pPr>
        <w:pStyle w:val="Heading2"/>
      </w:pPr>
      <w:r>
        <w:t>Results</w:t>
      </w:r>
    </w:p>
    <w:p>
      <w:r>
        <w:t>Period label: 12-month engagement, ROI measured across 2025</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Stat</w:t>
            </w:r>
          </w:p>
        </w:tc>
        <w:tc>
          <w:tcPr>
            <w:tcW w:type="dxa" w:w="3120"/>
          </w:tcPr>
          <w:p>
            <w:r>
              <w:rPr>
                <w:b/>
              </w:rPr>
            </w:r>
            <w:r>
              <w:rPr>
                <w:b/>
              </w:rPr>
              <w:t>Label</w:t>
            </w:r>
          </w:p>
        </w:tc>
        <w:tc>
          <w:tcPr>
            <w:tcW w:type="dxa" w:w="3120"/>
          </w:tcPr>
          <w:p>
            <w:r>
              <w:rPr>
                <w:b/>
              </w:rPr>
            </w:r>
            <w:r>
              <w:rPr>
                <w:b/>
              </w:rPr>
              <w:t>Explainer</w:t>
            </w:r>
          </w:p>
        </w:tc>
      </w:tr>
      <w:tr>
        <w:tc>
          <w:tcPr>
            <w:tcW w:type="dxa" w:w="3120"/>
          </w:tcPr>
          <w:p>
            <w:r/>
            <w:r>
              <w:rPr>
                <w:b/>
              </w:rPr>
              <w:t>32x</w:t>
            </w:r>
          </w:p>
        </w:tc>
        <w:tc>
          <w:tcPr>
            <w:tcW w:type="dxa" w:w="3120"/>
          </w:tcPr>
          <w:p>
            <w:r/>
            <w:r>
              <w:t>Increase in non-brand clicks</w:t>
            </w:r>
          </w:p>
        </w:tc>
        <w:tc>
          <w:tcPr>
            <w:tcW w:type="dxa" w:w="3120"/>
          </w:tcPr>
          <w:p>
            <w:r/>
            <w:r>
              <w:t>From 16 to 516 clicks a month over twelve months</w:t>
            </w:r>
          </w:p>
        </w:tc>
      </w:tr>
      <w:tr>
        <w:tc>
          <w:tcPr>
            <w:tcW w:type="dxa" w:w="3120"/>
          </w:tcPr>
          <w:p>
            <w:r/>
            <w:r>
              <w:rPr>
                <w:b/>
              </w:rPr>
              <w:t>73%</w:t>
            </w:r>
          </w:p>
        </w:tc>
        <w:tc>
          <w:tcPr>
            <w:tcW w:type="dxa" w:w="3120"/>
          </w:tcPr>
          <w:p>
            <w:r/>
            <w:r>
              <w:t>Core keywords in the Google top 10</w:t>
            </w:r>
          </w:p>
        </w:tc>
        <w:tc>
          <w:tcPr>
            <w:tcW w:type="dxa" w:w="3120"/>
          </w:tcPr>
          <w:p>
            <w:r/>
            <w:r>
              <w:t>Measured across the core business keyword set</w:t>
            </w:r>
          </w:p>
        </w:tc>
      </w:tr>
      <w:tr>
        <w:tc>
          <w:tcPr>
            <w:tcW w:type="dxa" w:w="3120"/>
          </w:tcPr>
          <w:p>
            <w:r/>
            <w:r>
              <w:rPr>
                <w:b/>
              </w:rPr>
              <w:t>13x</w:t>
            </w:r>
          </w:p>
        </w:tc>
        <w:tc>
          <w:tcPr>
            <w:tcW w:type="dxa" w:w="3120"/>
          </w:tcPr>
          <w:p>
            <w:r/>
            <w:r>
              <w:t>Return on investment from SEO and GEO</w:t>
            </w:r>
          </w:p>
        </w:tc>
        <w:tc>
          <w:tcPr>
            <w:tcW w:type="dxa" w:w="3120"/>
          </w:tcPr>
          <w:p>
            <w:r/>
            <w:r>
              <w:t>Across 2025</w:t>
            </w:r>
          </w:p>
        </w:tc>
      </w:tr>
      <w:tr>
        <w:tc>
          <w:tcPr>
            <w:tcW w:type="dxa" w:w="3120"/>
          </w:tcPr>
          <w:p>
            <w:r/>
            <w:r>
              <w:rPr>
                <w:b/>
              </w:rPr>
              <w:t>20%</w:t>
            </w:r>
          </w:p>
        </w:tc>
        <w:tc>
          <w:tcPr>
            <w:tcW w:type="dxa" w:w="3120"/>
          </w:tcPr>
          <w:p>
            <w:r/>
            <w:r>
              <w:t>Organic traffic boost from LLM sessions</w:t>
            </w:r>
          </w:p>
        </w:tc>
        <w:tc>
          <w:tcPr>
            <w:tcW w:type="dxa" w:w="3120"/>
          </w:tcPr>
          <w:p>
            <w:r/>
            <w:r>
              <w:t>Contributed by 100+ sessions originating in AI assistants</w:t>
            </w:r>
          </w:p>
        </w:tc>
      </w:tr>
    </w:tbl>
    <w:p/>
    <w:p>
      <w:r>
        <w:t>Link: How these numbers were measured</w:t>
      </w:r>
    </w:p>
    <w:p>
      <w:pPr>
        <w:pStyle w:val="Heading3"/>
      </w:pPr>
      <w:r>
        <w:t>SECTION 3 — M3 STICKY CASE PANEL</w:t>
      </w:r>
    </w:p>
    <w:p>
      <w:r>
        <w:rPr>
          <w:b/>
        </w:rPr>
        <w:t>About.</w:t>
      </w:r>
      <w:r>
        <w:t xml:space="preserve"> Avaana is an Australian consultancy that helps businesses through NDIS provider registration and growth, covering application preparation, audit coaching, and tailored business strategy.</w:t>
      </w:r>
    </w:p>
    <w:p>
      <w:r>
        <w:rPr>
          <w:b/>
        </w:rPr>
        <w:t>Services.</w:t>
      </w:r>
      <w:r>
        <w:t xml:space="preserve"> GEO, AIO &amp; SEO</w:t>
      </w:r>
    </w:p>
    <w:p>
      <w:r>
        <w:rPr>
          <w:b/>
        </w:rPr>
        <w:t>Period.</w:t>
      </w:r>
      <w:r>
        <w:t xml:space="preserve"> 12 months</w:t>
      </w:r>
    </w:p>
    <w:p>
      <w:pPr>
        <w:pStyle w:val="Heading3"/>
      </w:pPr>
      <w:r>
        <w:t>SECTION 4 — M4 THEIR STORY</w:t>
      </w:r>
    </w:p>
    <w:p>
      <w:r>
        <w:t>Eyebrow: Their story</w:t>
      </w:r>
    </w:p>
    <w:p>
      <w:pPr>
        <w:pStyle w:val="Heading2"/>
      </w:pPr>
      <w:r>
        <w:t>A consultancy that could only be found by people who knew its name</w:t>
      </w:r>
    </w:p>
    <w:p>
      <w:r>
        <w:t>Avaana works at the regulated end of Australian healthcare: NDIS provider registration, audit coaching, and the business strategy that follows. Its buyers are operators with a specific compliance problem and a deadline.</w:t>
      </w:r>
    </w:p>
    <w:p>
      <w:r>
        <w:t>Those buyers were searching. They were not searching for Avaana, because they had no reason to know it existed. Revenue leaned on paid channels because organic was carrying almost nothing that was not branded.</w:t>
      </w:r>
    </w:p>
    <w:p>
      <w:pPr>
        <w:pStyle w:val="Heading3"/>
      </w:pPr>
      <w:r>
        <w:t>SECTION 5 — M5 THE CHALLENGE</w:t>
      </w:r>
    </w:p>
    <w:p>
      <w:r>
        <w:t>Eyebrow: The challenge</w:t>
      </w:r>
    </w:p>
    <w:p>
      <w:pPr>
        <w:pStyle w:val="Heading2"/>
      </w:pPr>
      <w:r>
        <w:t>All the visibility was branded, and branded does not scale</w:t>
      </w:r>
    </w:p>
    <w:p>
      <w:r>
        <w:t>Increase organic traffic through on-page, off-page and technical SEO, focused on how operators actually search for NDIS regulation, registration, and provider services.</w:t>
      </w:r>
    </w:p>
    <w:p>
      <w:r>
        <w:t>Constraint tiles: 16 non-brand clicks · Paid-dependent revenue · No AI presence</w:t>
      </w:r>
    </w:p>
    <w:p>
      <w:r>
        <w:rPr>
          <w:b/>
        </w:rPr>
        <w:t>Objectives.</w:t>
      </w:r>
      <w:r>
        <w:t xml:space="preserve"> Build non-brand demand around regulation, registration and services intent, and be present when those same questions are asked of an AI assistant rather than typed into a search box.</w:t>
      </w:r>
    </w:p>
    <w:p>
      <w:pPr>
        <w:pStyle w:val="Heading3"/>
      </w:pPr>
      <w:r>
        <w:t>SECTION 6 — M6 THE SOLUTION</w:t>
      </w:r>
    </w:p>
    <w:p>
      <w:r>
        <w:t>Eyebrow: The solution</w:t>
      </w:r>
    </w:p>
    <w:p>
      <w:pPr>
        <w:pStyle w:val="Heading2"/>
      </w:pPr>
      <w:r>
        <w:t>Map the demand, earn the pages, then be citable</w:t>
      </w:r>
    </w:p>
    <w:p>
      <w:r>
        <w:t>Three moves carried the engagement: a content map built from real keyword demand, a technical and on-page program against the pages that could rank, and content shaped to be quoted by LLMs as well as ranked by Google.</w:t>
      </w:r>
    </w:p>
    <w:p>
      <w:pPr>
        <w:pStyle w:val="Heading4"/>
      </w:pPr>
      <w:r>
        <w:t>01 The map — 900+ keywords analyzed, then narrowed to what could actually rank</w:t>
      </w:r>
    </w:p>
    <w:p>
      <w:r>
        <w:t>Coverage was decided by demand and winnability, not by volume alone.</w:t>
      </w:r>
    </w:p>
    <w:p>
      <w:r>
        <w:t xml:space="preserve">Slot type: </w:t>
      </w:r>
      <w:r>
        <w:rPr>
          <w:b/>
        </w:rPr>
        <w:t>funnel</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Value</w:t>
            </w:r>
          </w:p>
        </w:tc>
        <w:tc>
          <w:tcPr>
            <w:tcW w:type="dxa" w:w="4680"/>
          </w:tcPr>
          <w:p>
            <w:r>
              <w:rPr>
                <w:b/>
              </w:rPr>
            </w:r>
            <w:r>
              <w:rPr>
                <w:b/>
              </w:rPr>
              <w:t>Stage</w:t>
            </w:r>
          </w:p>
        </w:tc>
      </w:tr>
      <w:tr>
        <w:tc>
          <w:tcPr>
            <w:tcW w:type="dxa" w:w="4680"/>
          </w:tcPr>
          <w:p>
            <w:r/>
            <w:r>
              <w:rPr>
                <w:b/>
              </w:rPr>
              <w:t>900+</w:t>
            </w:r>
          </w:p>
        </w:tc>
        <w:tc>
          <w:tcPr>
            <w:tcW w:type="dxa" w:w="4680"/>
          </w:tcPr>
          <w:p>
            <w:r/>
            <w:r>
              <w:t>High-relevance keywords analyzed</w:t>
            </w:r>
          </w:p>
        </w:tc>
      </w:tr>
      <w:tr>
        <w:tc>
          <w:tcPr>
            <w:tcW w:type="dxa" w:w="4680"/>
          </w:tcPr>
          <w:p>
            <w:r/>
            <w:r>
              <w:rPr>
                <w:b/>
              </w:rPr>
              <w:t>62</w:t>
            </w:r>
          </w:p>
        </w:tc>
        <w:tc>
          <w:tcPr>
            <w:tcW w:type="dxa" w:w="4680"/>
          </w:tcPr>
          <w:p>
            <w:r/>
            <w:r>
              <w:t>Unique blog pages mapped</w:t>
            </w:r>
          </w:p>
        </w:tc>
      </w:tr>
      <w:tr>
        <w:tc>
          <w:tcPr>
            <w:tcW w:type="dxa" w:w="4680"/>
          </w:tcPr>
          <w:p>
            <w:r/>
            <w:r>
              <w:rPr>
                <w:b/>
              </w:rPr>
              <w:t>17</w:t>
            </w:r>
          </w:p>
        </w:tc>
        <w:tc>
          <w:tcPr>
            <w:tcW w:type="dxa" w:w="4680"/>
          </w:tcPr>
          <w:p>
            <w:r/>
            <w:r>
              <w:t>Priority pages optimized</w:t>
            </w:r>
          </w:p>
        </w:tc>
      </w:tr>
    </w:tbl>
    <w:p/>
    <w:p>
      <w:r>
        <w:t>Caption: Each stage narrows to what the site could realistically own, rather than publishing against every term.</w:t>
      </w:r>
    </w:p>
    <w:p>
      <w:r>
        <w:t>The narrowing is the work. Mapping 900 keywords to 62 pages, and then concentrating on 17, is what made a small site competitive on regulated-sector terms.</w:t>
      </w:r>
    </w:p>
    <w:p>
      <w:pPr>
        <w:pStyle w:val="Heading4"/>
      </w:pPr>
      <w:r>
        <w:t>02 The build — On-page, technical and authority, run together</w:t>
      </w:r>
    </w:p>
    <w:p>
      <w:r>
        <w:t xml:space="preserve">Slot type: </w:t>
      </w:r>
      <w:r>
        <w:rPr>
          <w:b/>
        </w:rPr>
        <w:t>phase row</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Phase</w:t>
            </w:r>
          </w:p>
        </w:tc>
        <w:tc>
          <w:tcPr>
            <w:tcW w:type="dxa" w:w="2340"/>
          </w:tcPr>
          <w:p>
            <w:r>
              <w:rPr>
                <w:b/>
              </w:rPr>
            </w:r>
            <w:r>
              <w:rPr>
                <w:b/>
              </w:rPr>
              <w:t>Title</w:t>
            </w:r>
          </w:p>
        </w:tc>
        <w:tc>
          <w:tcPr>
            <w:tcW w:type="dxa" w:w="2340"/>
          </w:tcPr>
          <w:p>
            <w:r>
              <w:rPr>
                <w:b/>
              </w:rPr>
            </w:r>
            <w:r>
              <w:rPr>
                <w:b/>
              </w:rPr>
              <w:t>What it does</w:t>
            </w:r>
          </w:p>
        </w:tc>
        <w:tc>
          <w:tcPr>
            <w:tcW w:type="dxa" w:w="2340"/>
          </w:tcPr>
          <w:p>
            <w:r>
              <w:rPr>
                <w:b/>
              </w:rPr>
            </w:r>
            <w:r>
              <w:rPr>
                <w:b/>
              </w:rPr>
              <w:t>Tag</w:t>
            </w:r>
          </w:p>
        </w:tc>
      </w:tr>
      <w:tr>
        <w:tc>
          <w:tcPr>
            <w:tcW w:type="dxa" w:w="2340"/>
          </w:tcPr>
          <w:p>
            <w:r/>
            <w:r>
              <w:t>Phase 1</w:t>
            </w:r>
          </w:p>
        </w:tc>
        <w:tc>
          <w:tcPr>
            <w:tcW w:type="dxa" w:w="2340"/>
          </w:tcPr>
          <w:p>
            <w:r/>
            <w:r>
              <w:t>Content strategy</w:t>
            </w:r>
          </w:p>
        </w:tc>
        <w:tc>
          <w:tcPr>
            <w:tcW w:type="dxa" w:w="2340"/>
          </w:tcPr>
          <w:p>
            <w:r/>
            <w:r>
              <w:t>900+ keywords analyzed and mapped to intent</w:t>
            </w:r>
          </w:p>
        </w:tc>
        <w:tc>
          <w:tcPr>
            <w:tcW w:type="dxa" w:w="2340"/>
          </w:tcPr>
          <w:p>
            <w:r/>
            <w:r>
              <w:t>Regulation, registration, services</w:t>
            </w:r>
          </w:p>
        </w:tc>
      </w:tr>
      <w:tr>
        <w:tc>
          <w:tcPr>
            <w:tcW w:type="dxa" w:w="2340"/>
          </w:tcPr>
          <w:p>
            <w:r/>
            <w:r>
              <w:t>Phase 2</w:t>
            </w:r>
          </w:p>
        </w:tc>
        <w:tc>
          <w:tcPr>
            <w:tcW w:type="dxa" w:w="2340"/>
          </w:tcPr>
          <w:p>
            <w:r/>
            <w:r>
              <w:t>On-page optimization</w:t>
            </w:r>
          </w:p>
        </w:tc>
        <w:tc>
          <w:tcPr>
            <w:tcW w:type="dxa" w:w="2340"/>
          </w:tcPr>
          <w:p>
            <w:r/>
            <w:r>
              <w:t>17 priority pages rewritten and restructured</w:t>
            </w:r>
          </w:p>
        </w:tc>
        <w:tc>
          <w:tcPr>
            <w:tcW w:type="dxa" w:w="2340"/>
          </w:tcPr>
          <w:p>
            <w:r/>
            <w:r>
              <w:t>—</w:t>
            </w:r>
          </w:p>
        </w:tc>
      </w:tr>
      <w:tr>
        <w:tc>
          <w:tcPr>
            <w:tcW w:type="dxa" w:w="2340"/>
          </w:tcPr>
          <w:p>
            <w:r/>
            <w:r>
              <w:t>Phase 3</w:t>
            </w:r>
          </w:p>
        </w:tc>
        <w:tc>
          <w:tcPr>
            <w:tcW w:type="dxa" w:w="2340"/>
          </w:tcPr>
          <w:p>
            <w:r/>
            <w:r>
              <w:t>Technical audit</w:t>
            </w:r>
          </w:p>
        </w:tc>
        <w:tc>
          <w:tcPr>
            <w:tcW w:type="dxa" w:w="2340"/>
          </w:tcPr>
          <w:p>
            <w:r/>
            <w:r>
              <w:t>Page speed, coverage issues and site parameters</w:t>
            </w:r>
          </w:p>
        </w:tc>
        <w:tc>
          <w:tcPr>
            <w:tcW w:type="dxa" w:w="2340"/>
          </w:tcPr>
          <w:p>
            <w:r/>
            <w:r>
              <w:t>—</w:t>
            </w:r>
          </w:p>
        </w:tc>
      </w:tr>
      <w:tr>
        <w:tc>
          <w:tcPr>
            <w:tcW w:type="dxa" w:w="2340"/>
          </w:tcPr>
          <w:p>
            <w:r/>
            <w:r>
              <w:t>Phase 4</w:t>
            </w:r>
          </w:p>
        </w:tc>
        <w:tc>
          <w:tcPr>
            <w:tcW w:type="dxa" w:w="2340"/>
          </w:tcPr>
          <w:p>
            <w:r/>
            <w:r>
              <w:t>Authority</w:t>
            </w:r>
          </w:p>
        </w:tc>
        <w:tc>
          <w:tcPr>
            <w:tcW w:type="dxa" w:w="2340"/>
          </w:tcPr>
          <w:p>
            <w:r/>
            <w:r>
              <w:t>Targeted backlinking against the priority pages</w:t>
            </w:r>
          </w:p>
        </w:tc>
        <w:tc>
          <w:tcPr>
            <w:tcW w:type="dxa" w:w="2340"/>
          </w:tcPr>
          <w:p>
            <w:r/>
            <w:r>
              <w:t>—</w:t>
            </w:r>
          </w:p>
        </w:tc>
      </w:tr>
    </w:tbl>
    <w:p/>
    <w:p>
      <w:r>
        <w:t>Non-brand clicks moved from 16 a month to 516 over the twelve months.</w:t>
      </w:r>
    </w:p>
    <w:p>
      <w:pPr>
        <w:pStyle w:val="Heading4"/>
      </w:pPr>
      <w:r>
        <w:t>03 The real test — Being found by an AI assistant, not just by Google</w:t>
      </w:r>
    </w:p>
    <w:p>
      <w:r>
        <w:t>Content was optimized to surface inside AI and LLM results, not only in Google’s organic listings. Over 100 sessions arrived from AI assistants, contributing a 20% lift to organic traffic. For a regulated category where buyers ask an assistant what the rules are before they ask who can help, that channel is the leading indicator.</w:t>
      </w:r>
    </w:p>
    <w:p>
      <w:r>
        <w:t xml:space="preserve">Slot type: </w:t>
      </w:r>
      <w:r>
        <w:rPr>
          <w:b/>
        </w:rPr>
        <w:t>split bar</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Segment</w:t>
            </w:r>
          </w:p>
        </w:tc>
        <w:tc>
          <w:tcPr>
            <w:tcW w:type="dxa" w:w="4680"/>
          </w:tcPr>
          <w:p>
            <w:r>
              <w:rPr>
                <w:b/>
              </w:rPr>
            </w:r>
            <w:r>
              <w:rPr>
                <w:b/>
              </w:rPr>
              <w:t>Share</w:t>
            </w:r>
          </w:p>
        </w:tc>
      </w:tr>
      <w:tr>
        <w:tc>
          <w:tcPr>
            <w:tcW w:type="dxa" w:w="4680"/>
          </w:tcPr>
          <w:p>
            <w:r/>
            <w:r>
              <w:t>Conventional organic</w:t>
            </w:r>
          </w:p>
        </w:tc>
        <w:tc>
          <w:tcPr>
            <w:tcW w:type="dxa" w:w="4680"/>
          </w:tcPr>
          <w:p>
            <w:r/>
            <w:r>
              <w:t>80%</w:t>
            </w:r>
          </w:p>
        </w:tc>
      </w:tr>
      <w:tr>
        <w:tc>
          <w:tcPr>
            <w:tcW w:type="dxa" w:w="4680"/>
          </w:tcPr>
          <w:p>
            <w:r/>
            <w:r>
              <w:t>LLM-sourced</w:t>
            </w:r>
          </w:p>
        </w:tc>
        <w:tc>
          <w:tcPr>
            <w:tcW w:type="dxa" w:w="4680"/>
          </w:tcPr>
          <w:p>
            <w:r/>
            <w:r>
              <w:t>20%</w:t>
            </w:r>
          </w:p>
        </w:tc>
      </w:tr>
    </w:tbl>
    <w:p/>
    <w:p>
      <w:r>
        <w:t>Caption: Share of organic traffic contributed by sessions originating in AI assistants</w:t>
      </w:r>
    </w:p>
    <w:p>
      <w:pPr>
        <w:pStyle w:val="Heading3"/>
      </w:pPr>
      <w:r>
        <w:t>SECTION 7 — M7 THE OUTCOME</w:t>
      </w:r>
    </w:p>
    <w:p>
      <w:r>
        <w:t>Eyebrow: The outcome</w:t>
      </w:r>
    </w:p>
    <w:p>
      <w:pPr>
        <w:pStyle w:val="Heading2"/>
      </w:pPr>
      <w:r>
        <w:t>What changed beyond the click count</w:t>
      </w:r>
    </w:p>
    <w:p>
      <w:r>
        <w:t xml:space="preserve">Headline stat: </w:t>
      </w:r>
      <w:r>
        <w:rPr>
          <w:b/>
        </w:rPr>
        <w:t>13x</w:t>
      </w:r>
    </w:p>
    <w:p>
      <w:r>
        <w:t>Return on investment from SEO and GEO across 2025, with a meaningful share of revenue now arriving through organic search rather than paid channels.</w:t>
      </w:r>
    </w:p>
    <w:p>
      <w:r>
        <w:t>Source line: [ROI calculation basis to be confirmed]</w:t>
      </w:r>
    </w:p>
    <w:p>
      <w:r>
        <w:t>Second outcome: 73% of core business keywords now rank in the Google top 10, including priority terms like “NDIS consultants”.</w:t>
      </w:r>
    </w:p>
    <w:p>
      <w:pPr>
        <w:pStyle w:val="Heading3"/>
      </w:pPr>
      <w:r>
        <w:t>SECTION 8 — M8 VOICE</w:t>
      </w:r>
    </w:p>
    <w:p>
      <w:pPr>
        <w:ind w:left="576"/>
      </w:pPr>
      <w:r>
        <w:rPr>
          <w:i/>
        </w:rPr>
        <w:t>“Working with Growisto has had a tangible impact for Avaana. Since kicking off our SEO partnership, we’ve seen a significant lift in non-branded organic traffic, with priority keywords like ‘NDIS consultants’ consistently ranking in the top positions. The structured, data-driven approach has helped us reach more NDIS and aged care providers and diversify revenue away from just paid channels.”</w:t>
      </w:r>
    </w:p>
    <w:p>
      <w:r>
        <w:t>Attribution: Rohan Pardasani, Chief Executive Officer, Avaana</w:t>
      </w:r>
    </w:p>
    <w:p/>
    <w:p>
      <w:pPr>
        <w:pStyle w:val="Heading1"/>
      </w:pPr>
      <w:r>
        <w:t>CASE STUDY 4 — NOBERO</w:t>
      </w:r>
    </w:p>
    <w:p>
      <w:r>
        <w:rPr>
          <w:b/>
        </w:rPr>
        <w:t>Prototype:</w:t>
      </w:r>
      <w:r>
        <w:t xml:space="preserve"> https://salamaudi-dev.github.io/website-pages/landing-pages/outputs/case-study-nobero-brand.html</w:t>
      </w:r>
    </w:p>
    <w:p>
      <w:r>
        <w:rPr>
          <w:b/>
        </w:rPr>
        <w:t>Breadcrumb:</w:t>
      </w:r>
      <w:r>
        <w:t xml:space="preserve"> Resources › Case studies › Marketplaces, Amazon Ads</w:t>
      </w:r>
    </w:p>
    <w:p>
      <w:pPr>
        <w:pStyle w:val="Heading3"/>
      </w:pPr>
      <w:r>
        <w:t>SECTION 1 — M1 HERO</w:t>
      </w:r>
    </w:p>
    <w:p>
      <w:r>
        <w:t>Brand badge: Nobero</w:t>
      </w:r>
    </w:p>
    <w:p>
      <w:r>
        <w:t>Kicker: Nobero, a homegrown athleisure brand in India</w:t>
      </w:r>
    </w:p>
    <w:p>
      <w:pPr>
        <w:pStyle w:val="Heading1"/>
      </w:pPr>
      <w:r>
        <w:t>How Nobero Grew Sales From Ads 378% While Lifting ROAS 26.5%</w:t>
      </w:r>
    </w:p>
    <w:p>
      <w:r>
        <w:t>A homegrown fashion athleisure brand with a seasonal pull toward winter, competing at a premium price in one of the most contested categories on Amazon. Scaling spend was the easy part. Scaling it without losing efficiency was the account.</w:t>
      </w:r>
    </w:p>
    <w:p>
      <w:r>
        <w:t>Byline: Written by Growisto · [Publish date pending]</w:t>
      </w:r>
    </w:p>
    <w:p>
      <w:r>
        <w:t>Figure: Replace with the cleared Nobero asset from the case study deck</w:t>
      </w:r>
    </w:p>
    <w:p>
      <w:pPr>
        <w:pStyle w:val="Heading3"/>
      </w:pPr>
      <w:r>
        <w:t>SECTION 2 — M2 RESULTS</w:t>
      </w:r>
    </w:p>
    <w:p>
      <w:pPr>
        <w:pStyle w:val="Heading2"/>
      </w:pPr>
      <w:r>
        <w:t>Results</w:t>
      </w:r>
    </w:p>
    <w:p>
      <w:r>
        <w:t>Period label: Full-year 2024</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Stat</w:t>
            </w:r>
          </w:p>
        </w:tc>
        <w:tc>
          <w:tcPr>
            <w:tcW w:type="dxa" w:w="3120"/>
          </w:tcPr>
          <w:p>
            <w:r>
              <w:rPr>
                <w:b/>
              </w:rPr>
            </w:r>
            <w:r>
              <w:rPr>
                <w:b/>
              </w:rPr>
              <w:t>Label</w:t>
            </w:r>
          </w:p>
        </w:tc>
        <w:tc>
          <w:tcPr>
            <w:tcW w:type="dxa" w:w="3120"/>
          </w:tcPr>
          <w:p>
            <w:r>
              <w:rPr>
                <w:b/>
              </w:rPr>
            </w:r>
            <w:r>
              <w:rPr>
                <w:b/>
              </w:rPr>
              <w:t>Explainer</w:t>
            </w:r>
          </w:p>
        </w:tc>
      </w:tr>
      <w:tr>
        <w:tc>
          <w:tcPr>
            <w:tcW w:type="dxa" w:w="3120"/>
          </w:tcPr>
          <w:p>
            <w:r/>
            <w:r>
              <w:rPr>
                <w:b/>
              </w:rPr>
              <w:t>378%</w:t>
            </w:r>
          </w:p>
        </w:tc>
        <w:tc>
          <w:tcPr>
            <w:tcW w:type="dxa" w:w="3120"/>
          </w:tcPr>
          <w:p>
            <w:r/>
            <w:r>
              <w:t>Increase in sales from ads</w:t>
            </w:r>
          </w:p>
        </w:tc>
        <w:tc>
          <w:tcPr>
            <w:tcW w:type="dxa" w:w="3120"/>
          </w:tcPr>
          <w:p>
            <w:r/>
            <w:r>
              <w:t>Across 2024</w:t>
            </w:r>
          </w:p>
        </w:tc>
      </w:tr>
      <w:tr>
        <w:tc>
          <w:tcPr>
            <w:tcW w:type="dxa" w:w="3120"/>
          </w:tcPr>
          <w:p>
            <w:r/>
            <w:r>
              <w:rPr>
                <w:b/>
              </w:rPr>
              <w:t>26.5%</w:t>
            </w:r>
          </w:p>
        </w:tc>
        <w:tc>
          <w:tcPr>
            <w:tcW w:type="dxa" w:w="3120"/>
          </w:tcPr>
          <w:p>
            <w:r/>
            <w:r>
              <w:t>Increase in ROAS</w:t>
            </w:r>
          </w:p>
        </w:tc>
        <w:tc>
          <w:tcPr>
            <w:tcW w:type="dxa" w:w="3120"/>
          </w:tcPr>
          <w:p>
            <w:r/>
            <w:r>
              <w:t>Achieved while spend was being scaled heavily, not held flat</w:t>
            </w:r>
          </w:p>
        </w:tc>
      </w:tr>
      <w:tr>
        <w:tc>
          <w:tcPr>
            <w:tcW w:type="dxa" w:w="3120"/>
          </w:tcPr>
          <w:p>
            <w:r/>
            <w:r>
              <w:rPr>
                <w:b/>
              </w:rPr>
              <w:t>65%</w:t>
            </w:r>
          </w:p>
        </w:tc>
        <w:tc>
          <w:tcPr>
            <w:tcW w:type="dxa" w:w="3120"/>
          </w:tcPr>
          <w:p>
            <w:r/>
            <w:r>
              <w:t>Increase in conversion rate</w:t>
            </w:r>
          </w:p>
        </w:tc>
        <w:tc>
          <w:tcPr>
            <w:tcW w:type="dxa" w:w="3120"/>
          </w:tcPr>
          <w:p>
            <w:r/>
            <w:r>
              <w:t>More of the traffic the account bought went on to convert</w:t>
            </w:r>
          </w:p>
        </w:tc>
      </w:tr>
      <w:tr>
        <w:tc>
          <w:tcPr>
            <w:tcW w:type="dxa" w:w="3120"/>
          </w:tcPr>
          <w:p>
            <w:r/>
            <w:r>
              <w:rPr>
                <w:b/>
              </w:rPr>
              <w:t>278%</w:t>
            </w:r>
          </w:p>
        </w:tc>
        <w:tc>
          <w:tcPr>
            <w:tcW w:type="dxa" w:w="3120"/>
          </w:tcPr>
          <w:p>
            <w:r/>
            <w:r>
              <w:t>Increase in ad spend</w:t>
            </w:r>
          </w:p>
        </w:tc>
        <w:tc>
          <w:tcPr>
            <w:tcW w:type="dxa" w:w="3120"/>
          </w:tcPr>
          <w:p>
            <w:r/>
            <w:r>
              <w:t>The input behind the growth. Sales outgrew spend, which is where the ROAS lift comes from</w:t>
            </w:r>
          </w:p>
        </w:tc>
      </w:tr>
    </w:tbl>
    <w:p/>
    <w:p>
      <w:r>
        <w:t>Link: How these numbers were measured</w:t>
      </w:r>
    </w:p>
    <w:p>
      <w:pPr>
        <w:pStyle w:val="Heading3"/>
      </w:pPr>
      <w:r>
        <w:t>SECTION 3 — M3 STICKY CASE PANEL</w:t>
      </w:r>
    </w:p>
    <w:p>
      <w:r>
        <w:rPr>
          <w:b/>
        </w:rPr>
        <w:t>About.</w:t>
      </w:r>
      <w:r>
        <w:t xml:space="preserve"> Nobero is a homegrown fashion athleisure brand in India, with a seasonal influence through the winter season and a premium price point in a highly competitive category.</w:t>
      </w:r>
    </w:p>
    <w:p>
      <w:r>
        <w:rPr>
          <w:b/>
        </w:rPr>
        <w:t>Services.</w:t>
      </w:r>
      <w:r>
        <w:t xml:space="preserve"> Marketplaces · Amazon Ads</w:t>
      </w:r>
    </w:p>
    <w:p>
      <w:r>
        <w:rPr>
          <w:b/>
        </w:rPr>
        <w:t>Period.</w:t>
      </w:r>
      <w:r>
        <w:t xml:space="preserve"> 2024</w:t>
      </w:r>
    </w:p>
    <w:p>
      <w:pPr>
        <w:pStyle w:val="Heading3"/>
      </w:pPr>
      <w:r>
        <w:t>SECTION 4 — M4 THEIR STORY</w:t>
      </w:r>
    </w:p>
    <w:p>
      <w:r>
        <w:t>Eyebrow: Their story</w:t>
      </w:r>
    </w:p>
    <w:p>
      <w:pPr>
        <w:pStyle w:val="Heading2"/>
      </w:pPr>
      <w:r>
        <w:t>A seasonal brand competing at a premium in fashion</w:t>
      </w:r>
    </w:p>
    <w:p>
      <w:r>
        <w:t>Nobero sells athleisure into a category where competition is heavy and price pressure is constant. Its assortment leans toward winter, which concentrates a large share of the year into a short window.</w:t>
      </w:r>
    </w:p>
    <w:p>
      <w:r>
        <w:t>The brand needed to scale, not just spend. Buying more traffic is trivial in fashion; buying it at a price that still returns, through a seasonal peak, against better-known names, is the actual problem.</w:t>
      </w:r>
    </w:p>
    <w:p>
      <w:pPr>
        <w:pStyle w:val="Heading3"/>
      </w:pPr>
      <w:r>
        <w:t>SECTION 5 — M5 THE CHALLENGE</w:t>
      </w:r>
    </w:p>
    <w:p>
      <w:r>
        <w:t>Eyebrow: The challenge</w:t>
      </w:r>
    </w:p>
    <w:p>
      <w:pPr>
        <w:pStyle w:val="Heading2"/>
      </w:pPr>
      <w:r>
        <w:t>Scale the account without buying unprofitable growth</w:t>
      </w:r>
    </w:p>
    <w:p>
      <w:r>
        <w:t>Four objectives ran in parallel: scale account sales sustainably, optimize advertising spend while improving conversion rate, identify new targeting areas to lift brand visibility and sales, and build brand salience in a highly competitive fashion category.</w:t>
      </w:r>
    </w:p>
    <w:p>
      <w:r>
        <w:t>Constraint tiles: Seasonal assortment · Premium price point · Highly competitive category</w:t>
      </w:r>
    </w:p>
    <w:p>
      <w:r>
        <w:rPr>
          <w:b/>
        </w:rPr>
        <w:t>Objectives.</w:t>
      </w:r>
      <w:r>
        <w:t xml:space="preserve"> Grow sales faster than spend, so that scale and efficiency move together rather than trading off against each other.</w:t>
      </w:r>
    </w:p>
    <w:p>
      <w:pPr>
        <w:pStyle w:val="Heading3"/>
      </w:pPr>
      <w:r>
        <w:t>SECTION 6 — M6 THE SOLUTION</w:t>
      </w:r>
    </w:p>
    <w:p>
      <w:r>
        <w:t>Eyebrow: The solution</w:t>
      </w:r>
    </w:p>
    <w:p>
      <w:pPr>
        <w:pStyle w:val="Heading2"/>
      </w:pPr>
      <w:r>
        <w:t>A hero product, an early scale-up, and automation holding the budget</w:t>
      </w:r>
    </w:p>
    <w:p>
      <w:r>
        <w:t>Three moves carried the year: concentrate on a premium niche and a hero product, scale early to catch the season rather than chase it, and let automation manage budget in real time so efficiency held while spend climbed.</w:t>
      </w:r>
    </w:p>
    <w:p>
      <w:pPr>
        <w:pStyle w:val="Heading4"/>
      </w:pPr>
      <w:r>
        <w:t>01 The call — Scale early to catch the season, rather than bid into it</w:t>
      </w:r>
    </w:p>
    <w:p>
      <w:r>
        <w:t>A winter-weighted assortment decides its year in a short window. Position has to exist before the window opens.</w:t>
      </w:r>
    </w:p>
    <w:p>
      <w:r>
        <w:t xml:space="preserve">Slot type: </w:t>
      </w:r>
      <w:r>
        <w:rPr>
          <w:b/>
        </w:rPr>
        <w:t>comparison table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Approach</w:t>
            </w:r>
          </w:p>
        </w:tc>
        <w:tc>
          <w:tcPr>
            <w:tcW w:type="dxa" w:w="3120"/>
          </w:tcPr>
          <w:p>
            <w:r>
              <w:rPr>
                <w:b/>
              </w:rPr>
            </w:r>
            <w:r>
              <w:rPr>
                <w:b/>
              </w:rPr>
              <w:t>When spend lands</w:t>
            </w:r>
          </w:p>
        </w:tc>
        <w:tc>
          <w:tcPr>
            <w:tcW w:type="dxa" w:w="3120"/>
          </w:tcPr>
          <w:p>
            <w:r>
              <w:rPr>
                <w:b/>
              </w:rPr>
            </w:r>
            <w:r>
              <w:rPr>
                <w:b/>
              </w:rPr>
              <w:t>Position entering peak</w:t>
            </w:r>
          </w:p>
        </w:tc>
      </w:tr>
      <w:tr>
        <w:tc>
          <w:tcPr>
            <w:tcW w:type="dxa" w:w="3120"/>
          </w:tcPr>
          <w:p>
            <w:r/>
            <w:r>
              <w:t>Scale into the peak</w:t>
            </w:r>
          </w:p>
        </w:tc>
        <w:tc>
          <w:tcPr>
            <w:tcW w:type="dxa" w:w="3120"/>
          </w:tcPr>
          <w:p>
            <w:r/>
            <w:r>
              <w:t>With every competitor at once</w:t>
            </w:r>
          </w:p>
        </w:tc>
        <w:tc>
          <w:tcPr>
            <w:tcW w:type="dxa" w:w="3120"/>
          </w:tcPr>
          <w:p>
            <w:r/>
            <w:r>
              <w:t>Starting from scratch, at peak CPC</w:t>
            </w:r>
          </w:p>
        </w:tc>
      </w:tr>
      <w:tr>
        <w:tc>
          <w:tcPr>
            <w:tcW w:type="dxa" w:w="3120"/>
          </w:tcPr>
          <w:p>
            <w:r/>
            <w:r>
              <w:t>Scale up early</w:t>
            </w:r>
          </w:p>
        </w:tc>
        <w:tc>
          <w:tcPr>
            <w:tcW w:type="dxa" w:w="3120"/>
          </w:tcPr>
          <w:p>
            <w:r/>
            <w:r>
              <w:t>Ahead of the seasonal curve</w:t>
            </w:r>
          </w:p>
        </w:tc>
        <w:tc>
          <w:tcPr>
            <w:tcW w:type="dxa" w:w="3120"/>
          </w:tcPr>
          <w:p>
            <w:r/>
            <w:r>
              <w:t>Already ranked, at lower cost</w:t>
            </w:r>
          </w:p>
        </w:tc>
      </w:tr>
    </w:tbl>
    <w:p/>
    <w:p>
      <w:r>
        <w:t>Paired with a deliberate narrowing: focus on a premium niche, and build a hero product rather than spreading budget evenly across the catalog.</w:t>
      </w:r>
    </w:p>
    <w:p>
      <w:pPr>
        <w:pStyle w:val="Heading4"/>
      </w:pPr>
      <w:r>
        <w:t>02 The build — Find the opportunity, then let rules hold the line</w:t>
      </w:r>
    </w:p>
    <w:p>
      <w:r>
        <w:t xml:space="preserve">Slot type: </w:t>
      </w:r>
      <w:r>
        <w:rPr>
          <w:b/>
        </w:rPr>
        <w:t>phase row</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Phase</w:t>
            </w:r>
          </w:p>
        </w:tc>
        <w:tc>
          <w:tcPr>
            <w:tcW w:type="dxa" w:w="2340"/>
          </w:tcPr>
          <w:p>
            <w:r>
              <w:rPr>
                <w:b/>
              </w:rPr>
            </w:r>
            <w:r>
              <w:rPr>
                <w:b/>
              </w:rPr>
              <w:t>Title</w:t>
            </w:r>
          </w:p>
        </w:tc>
        <w:tc>
          <w:tcPr>
            <w:tcW w:type="dxa" w:w="2340"/>
          </w:tcPr>
          <w:p>
            <w:r>
              <w:rPr>
                <w:b/>
              </w:rPr>
            </w:r>
            <w:r>
              <w:rPr>
                <w:b/>
              </w:rPr>
              <w:t>What it does</w:t>
            </w:r>
          </w:p>
        </w:tc>
        <w:tc>
          <w:tcPr>
            <w:tcW w:type="dxa" w:w="2340"/>
          </w:tcPr>
          <w:p>
            <w:r>
              <w:rPr>
                <w:b/>
              </w:rPr>
            </w:r>
            <w:r>
              <w:rPr>
                <w:b/>
              </w:rPr>
              <w:t>Tag</w:t>
            </w:r>
          </w:p>
        </w:tc>
      </w:tr>
      <w:tr>
        <w:tc>
          <w:tcPr>
            <w:tcW w:type="dxa" w:w="2340"/>
          </w:tcPr>
          <w:p>
            <w:r/>
            <w:r>
              <w:t>Step 1</w:t>
            </w:r>
          </w:p>
        </w:tc>
        <w:tc>
          <w:tcPr>
            <w:tcW w:type="dxa" w:w="2340"/>
          </w:tcPr>
          <w:p>
            <w:r/>
            <w:r>
              <w:t>Hero product focus</w:t>
            </w:r>
          </w:p>
        </w:tc>
        <w:tc>
          <w:tcPr>
            <w:tcW w:type="dxa" w:w="2340"/>
          </w:tcPr>
          <w:p>
            <w:r/>
            <w:r>
              <w:t>Concentrate on a premium niche and build the hero SKU</w:t>
            </w:r>
          </w:p>
        </w:tc>
        <w:tc>
          <w:tcPr>
            <w:tcW w:type="dxa" w:w="2340"/>
          </w:tcPr>
          <w:p>
            <w:r/>
            <w:r>
              <w:t>Premium niche</w:t>
            </w:r>
          </w:p>
        </w:tc>
      </w:tr>
      <w:tr>
        <w:tc>
          <w:tcPr>
            <w:tcW w:type="dxa" w:w="2340"/>
          </w:tcPr>
          <w:p>
            <w:r/>
            <w:r>
              <w:t>Step 2</w:t>
            </w:r>
          </w:p>
        </w:tc>
        <w:tc>
          <w:tcPr>
            <w:tcW w:type="dxa" w:w="2340"/>
          </w:tcPr>
          <w:p>
            <w:r/>
            <w:r>
              <w:t>Early seasonal scale-up</w:t>
            </w:r>
          </w:p>
        </w:tc>
        <w:tc>
          <w:tcPr>
            <w:tcW w:type="dxa" w:w="2340"/>
          </w:tcPr>
          <w:p>
            <w:r/>
            <w:r>
              <w:t>Capitalize on seasonal growth before the peak</w:t>
            </w:r>
          </w:p>
        </w:tc>
        <w:tc>
          <w:tcPr>
            <w:tcW w:type="dxa" w:w="2340"/>
          </w:tcPr>
          <w:p>
            <w:r/>
            <w:r>
              <w:t>—</w:t>
            </w:r>
          </w:p>
        </w:tc>
      </w:tr>
      <w:tr>
        <w:tc>
          <w:tcPr>
            <w:tcW w:type="dxa" w:w="2340"/>
          </w:tcPr>
          <w:p>
            <w:r/>
            <w:r>
              <w:t>Step 3</w:t>
            </w:r>
          </w:p>
        </w:tc>
        <w:tc>
          <w:tcPr>
            <w:tcW w:type="dxa" w:w="2340"/>
          </w:tcPr>
          <w:p>
            <w:r/>
            <w:r>
              <w:t>Keyword opportunity mapping</w:t>
            </w:r>
          </w:p>
        </w:tc>
        <w:tc>
          <w:tcPr>
            <w:tcW w:type="dxa" w:w="2340"/>
          </w:tcPr>
          <w:p>
            <w:r/>
            <w:r>
              <w:t>Identify keyword opportunities across the category</w:t>
            </w:r>
          </w:p>
        </w:tc>
        <w:tc>
          <w:tcPr>
            <w:tcW w:type="dxa" w:w="2340"/>
          </w:tcPr>
          <w:p>
            <w:r/>
            <w:r>
              <w:t>—</w:t>
            </w:r>
          </w:p>
        </w:tc>
      </w:tr>
      <w:tr>
        <w:tc>
          <w:tcPr>
            <w:tcW w:type="dxa" w:w="2340"/>
          </w:tcPr>
          <w:p>
            <w:r/>
            <w:r>
              <w:t>Step 4</w:t>
            </w:r>
          </w:p>
        </w:tc>
        <w:tc>
          <w:tcPr>
            <w:tcW w:type="dxa" w:w="2340"/>
          </w:tcPr>
          <w:p>
            <w:r/>
            <w:r>
              <w:t>Rule-based optimization</w:t>
            </w:r>
          </w:p>
        </w:tc>
        <w:tc>
          <w:tcPr>
            <w:tcW w:type="dxa" w:w="2340"/>
          </w:tcPr>
          <w:p>
            <w:r/>
            <w:r>
              <w:t>Automated rules applied to lift account ROAS</w:t>
            </w:r>
          </w:p>
        </w:tc>
        <w:tc>
          <w:tcPr>
            <w:tcW w:type="dxa" w:w="2340"/>
          </w:tcPr>
          <w:p>
            <w:r/>
            <w:r>
              <w:t>—</w:t>
            </w:r>
          </w:p>
        </w:tc>
      </w:tr>
    </w:tbl>
    <w:p/>
    <w:p>
      <w:r>
        <w:t>Real-time budget management through our automation layer prevented sales loss during the scale-up.</w:t>
      </w:r>
    </w:p>
    <w:p>
      <w:pPr>
        <w:pStyle w:val="Heading4"/>
      </w:pPr>
      <w:r>
        <w:t>03 The real test — Sales outgrew spend, which is the whole point</w:t>
      </w:r>
    </w:p>
    <w:p>
      <w:r>
        <w:t>Ad spend rose 278% across 2024. Sales from ads rose 378%. Because sales outgrew spend, ROAS went up 26.5% in the same period, during the heaviest scaling the account had seen. The gap between those two lines is the result; the headline number on its own would not show it.</w:t>
      </w:r>
    </w:p>
    <w:p>
      <w:r>
        <w:t xml:space="preserve">Slot type: </w:t>
      </w:r>
      <w:r>
        <w:rPr>
          <w:b/>
        </w:rPr>
        <w:t>bar comparison</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Series</w:t>
            </w:r>
          </w:p>
        </w:tc>
        <w:tc>
          <w:tcPr>
            <w:tcW w:type="dxa" w:w="4680"/>
          </w:tcPr>
          <w:p>
            <w:r>
              <w:rPr>
                <w:b/>
              </w:rPr>
            </w:r>
            <w:r>
              <w:rPr>
                <w:b/>
              </w:rPr>
              <w:t>Value</w:t>
            </w:r>
          </w:p>
        </w:tc>
      </w:tr>
      <w:tr>
        <w:tc>
          <w:tcPr>
            <w:tcW w:type="dxa" w:w="4680"/>
          </w:tcPr>
          <w:p>
            <w:r/>
            <w:r>
              <w:t>Sales from ads</w:t>
            </w:r>
          </w:p>
        </w:tc>
        <w:tc>
          <w:tcPr>
            <w:tcW w:type="dxa" w:w="4680"/>
          </w:tcPr>
          <w:p>
            <w:r/>
            <w:r>
              <w:rPr>
                <w:b/>
              </w:rPr>
              <w:t>378%</w:t>
            </w:r>
          </w:p>
        </w:tc>
      </w:tr>
      <w:tr>
        <w:tc>
          <w:tcPr>
            <w:tcW w:type="dxa" w:w="4680"/>
          </w:tcPr>
          <w:p>
            <w:r/>
            <w:r>
              <w:t>Ad spend</w:t>
            </w:r>
          </w:p>
        </w:tc>
        <w:tc>
          <w:tcPr>
            <w:tcW w:type="dxa" w:w="4680"/>
          </w:tcPr>
          <w:p>
            <w:r/>
            <w:r>
              <w:rPr>
                <w:b/>
              </w:rPr>
              <w:t>278%</w:t>
            </w:r>
          </w:p>
        </w:tc>
      </w:tr>
      <w:tr>
        <w:tc>
          <w:tcPr>
            <w:tcW w:type="dxa" w:w="4680"/>
          </w:tcPr>
          <w:p>
            <w:r/>
            <w:r>
              <w:t>ROAS</w:t>
            </w:r>
          </w:p>
        </w:tc>
        <w:tc>
          <w:tcPr>
            <w:tcW w:type="dxa" w:w="4680"/>
          </w:tcPr>
          <w:p>
            <w:r/>
            <w:r>
              <w:rPr>
                <w:b/>
              </w:rPr>
              <w:t>26.5%</w:t>
            </w:r>
          </w:p>
        </w:tc>
      </w:tr>
    </w:tbl>
    <w:p/>
    <w:p>
      <w:r>
        <w:t>Caption: Sales from ads grew 4.78x while spend grew 3.78x. The ratio between them is the 26.5% ROAS lift.</w:t>
      </w:r>
    </w:p>
    <w:p>
      <w:pPr>
        <w:pStyle w:val="Heading3"/>
      </w:pPr>
      <w:r>
        <w:t>SECTION 7 — M7 THE OUTCOME</w:t>
      </w:r>
    </w:p>
    <w:p>
      <w:r>
        <w:t>Eyebrow: The outcome</w:t>
      </w:r>
    </w:p>
    <w:p>
      <w:pPr>
        <w:pStyle w:val="Heading2"/>
      </w:pPr>
      <w:r>
        <w:t>What changed beyond the ad line</w:t>
      </w:r>
    </w:p>
    <w:p>
      <w:r>
        <w:t xml:space="preserve">Headline stat: </w:t>
      </w:r>
      <w:r>
        <w:rPr>
          <w:b/>
        </w:rPr>
        <w:t>65%</w:t>
      </w:r>
    </w:p>
    <w:p>
      <w:r>
        <w:t>Increase in conversion rate, so the traffic the account was buying converted at a materially better rate by the end of the year.</w:t>
      </w:r>
    </w:p>
    <w:p>
      <w:r>
        <w:t>Source line: [Measurement window and comparison baseline pending]</w:t>
      </w:r>
    </w:p>
    <w:p>
      <w:r>
        <w:t>Second outcome: The brand reports a hero SKU, the travel hoodie, carrying roughly 30% of sales, with several SKUs reaching top-ranked positions in the category.</w:t>
      </w:r>
    </w:p>
    <w:p>
      <w:pPr>
        <w:pStyle w:val="Heading3"/>
      </w:pPr>
      <w:r>
        <w:t>SECTION 8 — M8 VOICE</w:t>
      </w:r>
    </w:p>
    <w:p>
      <w:pPr>
        <w:ind w:left="576"/>
      </w:pPr>
      <w:r>
        <w:rPr>
          <w:i/>
        </w:rPr>
        <w:t>“The last two years journey with Growisto on Amazon has been a remarkable story. We being a niche business in the athleisure space, and the business was also seasonal which had hoodies as a large part of the assortment, and the price point was also premium. So how do we win against brands which are lower competition and how we build visibility was the problem statement. Growisto suggested we build visibility ahead of the season and this really worked out well for us.”</w:t>
      </w:r>
    </w:p>
    <w:p>
      <w:r>
        <w:t>Attribution: Bala Satish, Co-Founder, Nobero</w:t>
      </w:r>
    </w:p>
    <w:p/>
    <w:p>
      <w:pPr>
        <w:pStyle w:val="Heading1"/>
      </w:pPr>
      <w:r>
        <w:t>SHARED MODULES (identical on every case study)</w:t>
      </w:r>
    </w:p>
    <w:p>
      <w:pPr>
        <w:pStyle w:val="Heading3"/>
      </w:pPr>
      <w:r>
        <w:t>M10 — BOOK A CALL</w:t>
      </w:r>
    </w:p>
    <w:p>
      <w:pPr>
        <w:pStyle w:val="Heading2"/>
      </w:pPr>
      <w:r>
        <w:t>See How We Can Do This for Your Brand</w:t>
      </w:r>
    </w:p>
    <w:p>
      <w:r>
        <w:t>MSI’s launch started with a call. Yours can too. If there’s no business case, we’ll say so.</w:t>
      </w:r>
    </w:p>
    <w:p>
      <w:r>
        <w:rPr>
          <w:b/>
        </w:rPr>
        <w:t>LEVEL 1 CTA — FORM</w:t>
      </w:r>
    </w:p>
    <w:p>
      <w:r>
        <w:t>Title: Tell us where to reach you</w:t>
      </w:r>
    </w:p>
    <w:p>
      <w:r>
        <w:t>Form fields:</w:t>
      </w:r>
    </w:p>
    <w:p>
      <w:pPr>
        <w:pStyle w:val="ListBullet"/>
      </w:pPr>
      <w:r>
        <w:t>Full name (placeholder: Full name)</w:t>
      </w:r>
    </w:p>
    <w:p>
      <w:pPr>
        <w:pStyle w:val="ListBullet"/>
      </w:pPr>
      <w:r>
        <w:t>Work email (placeholder: name@company.com)</w:t>
      </w:r>
    </w:p>
    <w:p>
      <w:pPr>
        <w:pStyle w:val="ListBullet"/>
      </w:pPr>
      <w:r>
        <w:t>Company (placeholder: Company name)</w:t>
      </w:r>
    </w:p>
    <w:p>
      <w:pPr>
        <w:pStyle w:val="ListBullet"/>
      </w:pPr>
      <w:r>
        <w:t>Service you need (placeholder: Select one)</w:t>
      </w:r>
    </w:p>
    <w:p>
      <w:pPr>
        <w:pStyle w:val="ListBullet"/>
      </w:pPr>
      <w:r>
        <w:t>What are you trying to solve? (optional) (placeholder: Brand, marketplace or storefront, and the problem)</w:t>
      </w:r>
    </w:p>
    <w:p>
      <w:r>
        <w:t>Button: Book a call</w:t>
      </w:r>
    </w:p>
    <w:p>
      <w:r>
        <w:t>Sub-line: [Privacy line and terms, pending]</w:t>
      </w:r>
    </w:p>
    <w:p>
      <w:r>
        <w:t>Side panel heading: Built for businesses like yours. Let’s connect</w:t>
      </w:r>
    </w:p>
    <w:p>
      <w:pPr>
        <w:pStyle w:val="ListNumber"/>
      </w:pPr>
      <w:r>
        <w:rPr>
          <w:b/>
        </w:rPr>
        <w:t>Fill out the form</w:t>
      </w:r>
      <w:r>
        <w:t xml:space="preserve"> — Share your contact information to get started</w:t>
      </w:r>
    </w:p>
    <w:p>
      <w:pPr>
        <w:pStyle w:val="ListNumber"/>
      </w:pPr>
      <w:r>
        <w:rPr>
          <w:b/>
        </w:rPr>
        <w:t>Speak to an expert</w:t>
      </w:r>
      <w:r>
        <w:t xml:space="preserve"> — A member of our team will get in touch with you</w:t>
      </w:r>
    </w:p>
    <w:p>
      <w:r>
        <w:t>Trust row: Zero Cost or Commitment · 100% Confidential · We’ll respond within 24 hours</w:t>
      </w:r>
    </w:p>
    <w:p>
      <w:pPr>
        <w:pStyle w:val="Heading3"/>
      </w:pPr>
      <w:r>
        <w:t>M11 — SIMILAR SITUATIONS</w:t>
      </w:r>
    </w:p>
    <w:p>
      <w:pPr>
        <w:pStyle w:val="Heading2"/>
      </w:pPr>
      <w:r>
        <w:t>Proof is in the numbers</w:t>
      </w:r>
    </w:p>
    <w:p>
      <w:r>
        <w:t>Link: View all case studies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Category</w:t>
            </w:r>
          </w:p>
        </w:tc>
        <w:tc>
          <w:tcPr>
            <w:tcW w:type="dxa" w:w="3120"/>
          </w:tcPr>
          <w:p>
            <w:r>
              <w:rPr>
                <w:b/>
              </w:rPr>
            </w:r>
            <w:r>
              <w:rPr>
                <w:b/>
              </w:rPr>
              <w:t>Title</w:t>
            </w:r>
          </w:p>
        </w:tc>
        <w:tc>
          <w:tcPr>
            <w:tcW w:type="dxa" w:w="3120"/>
          </w:tcPr>
          <w:p>
            <w:r>
              <w:rPr>
                <w:b/>
              </w:rPr>
            </w:r>
            <w:r>
              <w:rPr>
                <w:b/>
              </w:rPr>
              <w:t>Result line</w:t>
            </w:r>
          </w:p>
        </w:tc>
      </w:tr>
      <w:tr>
        <w:tc>
          <w:tcPr>
            <w:tcW w:type="dxa" w:w="3120"/>
          </w:tcPr>
          <w:p>
            <w:r/>
            <w:r>
              <w:t>Marketplaces</w:t>
            </w:r>
          </w:p>
        </w:tc>
        <w:tc>
          <w:tcPr>
            <w:tcW w:type="dxa" w:w="3120"/>
          </w:tcPr>
          <w:p>
            <w:r/>
            <w:r>
              <w:t>How a Challenger Brand Hit #1 BSR on Amazon KSA in 5 Months</w:t>
            </w:r>
          </w:p>
        </w:tc>
        <w:tc>
          <w:tcPr>
            <w:tcW w:type="dxa" w:w="3120"/>
          </w:tcPr>
          <w:p>
            <w:r/>
            <w:r>
              <w:t>Zero-to-one launch against Apple and HP. 110% increase in ad sales.</w:t>
            </w:r>
          </w:p>
        </w:tc>
      </w:tr>
      <w:tr>
        <w:tc>
          <w:tcPr>
            <w:tcW w:type="dxa" w:w="3120"/>
          </w:tcPr>
          <w:p>
            <w:r/>
            <w:r>
              <w:t>Marketplaces</w:t>
            </w:r>
          </w:p>
        </w:tc>
        <w:tc>
          <w:tcPr>
            <w:tcW w:type="dxa" w:w="3120"/>
          </w:tcPr>
          <w:p>
            <w:r/>
            <w:r>
              <w:t>How GuruNanda Scaled to a Global Category Leader with 312% Revenue Growth</w:t>
            </w:r>
          </w:p>
        </w:tc>
        <w:tc>
          <w:tcPr>
            <w:tcW w:type="dxa" w:w="3120"/>
          </w:tcPr>
          <w:p>
            <w:r/>
            <w:r>
              <w:t>New-market launch: Amazon UK and Canada. 312% increase in total revenue.</w:t>
            </w:r>
          </w:p>
        </w:tc>
      </w:tr>
      <w:tr>
        <w:tc>
          <w:tcPr>
            <w:tcW w:type="dxa" w:w="3120"/>
          </w:tcPr>
          <w:p>
            <w:r/>
            <w:r>
              <w:t>Website &amp; Tech</w:t>
            </w:r>
          </w:p>
        </w:tc>
        <w:tc>
          <w:tcPr>
            <w:tcW w:type="dxa" w:w="3120"/>
          </w:tcPr>
          <w:p>
            <w:r/>
            <w:r>
              <w:t>How Powerlook Recovered $105K+ a Month After a Platform Migration</w:t>
            </w:r>
          </w:p>
        </w:tc>
        <w:tc>
          <w:tcPr>
            <w:tcW w:type="dxa" w:w="3120"/>
          </w:tcPr>
          <w:p>
            <w:r/>
            <w:r>
              <w:t>Shopify Plus in three months, zero downtime. 80% festive revenue growth.</w:t>
            </w:r>
          </w:p>
        </w:tc>
      </w:tr>
      <w:tr>
        <w:tc>
          <w:tcPr>
            <w:tcW w:type="dxa" w:w="3120"/>
          </w:tcPr>
          <w:p>
            <w:r/>
            <w:r>
              <w:t>GEO, AIO &amp; SEO</w:t>
            </w:r>
          </w:p>
        </w:tc>
        <w:tc>
          <w:tcPr>
            <w:tcW w:type="dxa" w:w="3120"/>
          </w:tcPr>
          <w:p>
            <w:r/>
            <w:r>
              <w:t>How Avaana Grew Non-Brand Clicks 32x in Twelve Months</w:t>
            </w:r>
          </w:p>
        </w:tc>
        <w:tc>
          <w:tcPr>
            <w:tcW w:type="dxa" w:w="3120"/>
          </w:tcPr>
          <w:p>
            <w:r/>
            <w:r>
              <w:t>Regulated-sector SEO and GEO. 13x return across 2025.</w:t>
            </w:r>
          </w:p>
        </w:tc>
      </w:tr>
    </w:tbl>
    <w:p/>
    <w:tbl>
      <w:tblPr>
        <w:tblStyle w:val="TableGrid"/>
        <w:tblW w:type="auto" w:w="0"/>
        <w:tblLook w:firstColumn="1" w:firstRow="1" w:lastColumn="0" w:lastRow="0" w:noHBand="0" w:noVBand="1" w:val="04A0"/>
      </w:tblPr>
      <w:tblGrid>
        <w:gridCol w:w="9360"/>
      </w:tblGrid>
      <w:tr>
        <w:tc>
          <w:tcPr>
            <w:tcW w:type="dxa" w:w="9360"/>
          </w:tcPr>
          <w:p>
            <w:r>
              <w:rPr>
                <w:b/>
              </w:rPr>
            </w:r>
            <w:r>
              <w:rPr>
                <w:b/>
              </w:rPr>
              <w:t>NOTE: Related-content logic is undefined. With 52 studies in the wiki, decide whether these three are chosen by service, by sector, or manually per page.</w:t>
            </w:r>
          </w:p>
        </w:tc>
      </w:tr>
    </w:tbl>
    <w:p/>
    <w:p/>
    <w:p>
      <w:pPr>
        <w:pStyle w:val="Heading2"/>
      </w:pPr>
      <w:r>
        <w:t>CONTACT</w:t>
      </w:r>
    </w:p>
    <w:p>
      <w:r>
        <w:t>Email: growth@growisto.com</w:t>
      </w:r>
    </w:p>
    <w:p>
      <w:r>
        <w:t>Phone (India): +91 88282 72657</w:t>
      </w:r>
    </w:p>
    <w:p>
      <w:r>
        <w:t>Phone (US): +1-628-280-9076</w:t>
      </w:r>
    </w:p>
    <w:p/>
    <w:p>
      <w:pPr>
        <w:pStyle w:val="Heading2"/>
      </w:pPr>
      <w:r>
        <w:t>PENDING — CONFIRM BEFORE FINAL LOCK</w:t>
      </w:r>
    </w:p>
    <w:p>
      <w:pPr>
        <w:pStyle w:val="Heading3"/>
      </w:pPr>
      <w:r>
        <w:t>Blocking — the page cannot ship without these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w:t>
            </w:r>
          </w:p>
        </w:tc>
        <w:tc>
          <w:tcPr>
            <w:tcW w:type="dxa" w:w="3120"/>
          </w:tcPr>
          <w:p>
            <w:r>
              <w:rPr>
                <w:b/>
              </w:rPr>
            </w:r>
            <w:r>
              <w:rPr>
                <w:b/>
              </w:rPr>
              <w:t>Item</w:t>
            </w:r>
          </w:p>
        </w:tc>
        <w:tc>
          <w:tcPr>
            <w:tcW w:type="dxa" w:w="3120"/>
          </w:tcPr>
          <w:p>
            <w:r>
              <w:rPr>
                <w:b/>
              </w:rPr>
            </w:r>
            <w:r>
              <w:rPr>
                <w:b/>
              </w:rPr>
              <w:t>Affects</w:t>
            </w:r>
          </w:p>
        </w:tc>
      </w:tr>
      <w:tr>
        <w:tc>
          <w:tcPr>
            <w:tcW w:type="dxa" w:w="3120"/>
          </w:tcPr>
          <w:p>
            <w:r/>
            <w:r>
              <w:t>1</w:t>
            </w:r>
          </w:p>
        </w:tc>
        <w:tc>
          <w:tcPr>
            <w:tcW w:type="dxa" w:w="3120"/>
          </w:tcPr>
          <w:p>
            <w:r/>
            <w:r>
              <w:t>Hero image, client-cleared, landscape 1920px+, no text in frame</w:t>
            </w:r>
          </w:p>
        </w:tc>
        <w:tc>
          <w:tcPr>
            <w:tcW w:type="dxa" w:w="3120"/>
          </w:tcPr>
          <w:p>
            <w:r/>
            <w:r>
              <w:t>M1, all four studies</w:t>
            </w:r>
          </w:p>
        </w:tc>
      </w:tr>
      <w:tr>
        <w:tc>
          <w:tcPr>
            <w:tcW w:type="dxa" w:w="3120"/>
          </w:tcPr>
          <w:p>
            <w:r/>
            <w:r>
              <w:t>2</w:t>
            </w:r>
          </w:p>
        </w:tc>
        <w:tc>
          <w:tcPr>
            <w:tcW w:type="dxa" w:w="3120"/>
          </w:tcPr>
          <w:p>
            <w:r/>
            <w:r>
              <w:t>Related-story thumbnail, 16:9</w:t>
            </w:r>
          </w:p>
        </w:tc>
        <w:tc>
          <w:tcPr>
            <w:tcW w:type="dxa" w:w="3120"/>
          </w:tcPr>
          <w:p>
            <w:r/>
            <w:r>
              <w:t>M11, one per study</w:t>
            </w:r>
          </w:p>
        </w:tc>
      </w:tr>
      <w:tr>
        <w:tc>
          <w:tcPr>
            <w:tcW w:type="dxa" w:w="3120"/>
          </w:tcPr>
          <w:p>
            <w:r/>
            <w:r>
              <w:t>3</w:t>
            </w:r>
          </w:p>
        </w:tc>
        <w:tc>
          <w:tcPr>
            <w:tcW w:type="dxa" w:w="3120"/>
          </w:tcPr>
          <w:p>
            <w:r/>
            <w:r>
              <w:t>Written client approval of name, figures and quote</w:t>
            </w:r>
          </w:p>
        </w:tc>
        <w:tc>
          <w:tcPr>
            <w:tcW w:type="dxa" w:w="3120"/>
          </w:tcPr>
          <w:p>
            <w:r/>
            <w:r>
              <w:t>All four studies</w:t>
            </w:r>
          </w:p>
        </w:tc>
      </w:tr>
      <w:tr>
        <w:tc>
          <w:tcPr>
            <w:tcW w:type="dxa" w:w="3120"/>
          </w:tcPr>
          <w:p>
            <w:r/>
            <w:r>
              <w:t>4</w:t>
            </w:r>
          </w:p>
        </w:tc>
        <w:tc>
          <w:tcPr>
            <w:tcW w:type="dxa" w:w="3120"/>
          </w:tcPr>
          <w:p>
            <w:r/>
            <w:r>
              <w:t>MSI hero headline says '#1 BSR'; the page's own M7 says '2 SKUs in Top 10'. '#1' comes from the Objectives field, not a result</w:t>
            </w:r>
          </w:p>
        </w:tc>
        <w:tc>
          <w:tcPr>
            <w:tcW w:type="dxa" w:w="3120"/>
          </w:tcPr>
          <w:p>
            <w:r/>
            <w:r>
              <w:t>MSI M1</w:t>
            </w:r>
          </w:p>
        </w:tc>
      </w:tr>
      <w:tr>
        <w:tc>
          <w:tcPr>
            <w:tcW w:type="dxa" w:w="3120"/>
          </w:tcPr>
          <w:p>
            <w:r/>
            <w:r>
              <w:t>5</w:t>
            </w:r>
          </w:p>
        </w:tc>
        <w:tc>
          <w:tcPr>
            <w:tcW w:type="dxa" w:w="3120"/>
          </w:tcPr>
          <w:p>
            <w:r/>
            <w:r>
              <w:t>Cleared quote for MSI and Powerlook. None exists in the source set</w:t>
            </w:r>
          </w:p>
        </w:tc>
        <w:tc>
          <w:tcPr>
            <w:tcW w:type="dxa" w:w="3120"/>
          </w:tcPr>
          <w:p>
            <w:r/>
            <w:r>
              <w:t>MSI M8, Powerlook M8</w:t>
            </w:r>
          </w:p>
        </w:tc>
      </w:tr>
      <w:tr>
        <w:tc>
          <w:tcPr>
            <w:tcW w:type="dxa" w:w="3120"/>
          </w:tcPr>
          <w:p>
            <w:r/>
            <w:r>
              <w:t>6</w:t>
            </w:r>
          </w:p>
        </w:tc>
        <w:tc>
          <w:tcPr>
            <w:tcW w:type="dxa" w:w="3120"/>
          </w:tcPr>
          <w:p>
            <w:r/>
            <w:r>
              <w:t>Nobero CRM record reads name/logo permission = No, and the account is marked Closed. The supplied Growisto slide names and logos the brand. Reconcile the record or the rule</w:t>
            </w:r>
          </w:p>
        </w:tc>
        <w:tc>
          <w:tcPr>
            <w:tcW w:type="dxa" w:w="3120"/>
          </w:tcPr>
          <w:p>
            <w:r/>
            <w:r>
              <w:t>Nobero, all modules</w:t>
            </w:r>
          </w:p>
        </w:tc>
      </w:tr>
    </w:tbl>
    <w:p/>
    <w:p>
      <w:pPr>
        <w:pStyle w:val="Heading3"/>
      </w:pPr>
      <w:r>
        <w:t>Measurement — needed to make the numbers defensible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w:t>
            </w:r>
          </w:p>
        </w:tc>
        <w:tc>
          <w:tcPr>
            <w:tcW w:type="dxa" w:w="3120"/>
          </w:tcPr>
          <w:p>
            <w:r>
              <w:rPr>
                <w:b/>
              </w:rPr>
            </w:r>
            <w:r>
              <w:rPr>
                <w:b/>
              </w:rPr>
              <w:t>Item</w:t>
            </w:r>
          </w:p>
        </w:tc>
        <w:tc>
          <w:tcPr>
            <w:tcW w:type="dxa" w:w="3120"/>
          </w:tcPr>
          <w:p>
            <w:r>
              <w:rPr>
                <w:b/>
              </w:rPr>
            </w:r>
            <w:r>
              <w:rPr>
                <w:b/>
              </w:rPr>
              <w:t>Affects</w:t>
            </w:r>
          </w:p>
        </w:tc>
      </w:tr>
      <w:tr>
        <w:tc>
          <w:tcPr>
            <w:tcW w:type="dxa" w:w="3120"/>
          </w:tcPr>
          <w:p>
            <w:r/>
            <w:r>
              <w:t>7</w:t>
            </w:r>
          </w:p>
        </w:tc>
        <w:tc>
          <w:tcPr>
            <w:tcW w:type="dxa" w:w="3120"/>
          </w:tcPr>
          <w:p>
            <w:r/>
            <w:r>
              <w:t>'How these numbers were measured' links to nothing. Needs a methodology line per stat</w:t>
            </w:r>
          </w:p>
        </w:tc>
        <w:tc>
          <w:tcPr>
            <w:tcW w:type="dxa" w:w="3120"/>
          </w:tcPr>
          <w:p>
            <w:r/>
            <w:r>
              <w:t>M2, all studies</w:t>
            </w:r>
          </w:p>
        </w:tc>
      </w:tr>
      <w:tr>
        <w:tc>
          <w:tcPr>
            <w:tcW w:type="dxa" w:w="3120"/>
          </w:tcPr>
          <w:p>
            <w:r/>
            <w:r>
              <w:t>8</w:t>
            </w:r>
          </w:p>
        </w:tc>
        <w:tc>
          <w:tcPr>
            <w:tcW w:type="dxa" w:w="3120"/>
          </w:tcPr>
          <w:p>
            <w:r/>
            <w:r>
              <w:t>MSI '81 ROAS' — unit and basis. 81x is implausible for consumer electronics</w:t>
            </w:r>
          </w:p>
        </w:tc>
        <w:tc>
          <w:tcPr>
            <w:tcW w:type="dxa" w:w="3120"/>
          </w:tcPr>
          <w:p>
            <w:r/>
            <w:r>
              <w:t>MSI M2</w:t>
            </w:r>
          </w:p>
        </w:tc>
      </w:tr>
      <w:tr>
        <w:tc>
          <w:tcPr>
            <w:tcW w:type="dxa" w:w="3120"/>
          </w:tcPr>
          <w:p>
            <w:r/>
            <w:r>
              <w:t>9</w:t>
            </w:r>
          </w:p>
        </w:tc>
        <w:tc>
          <w:tcPr>
            <w:tcW w:type="dxa" w:w="3120"/>
          </w:tcPr>
          <w:p>
            <w:r/>
            <w:r>
              <w:t>MSI '64% increase in orders' — total or ad-attributed. Flagged by the design team</w:t>
            </w:r>
          </w:p>
        </w:tc>
        <w:tc>
          <w:tcPr>
            <w:tcW w:type="dxa" w:w="3120"/>
          </w:tcPr>
          <w:p>
            <w:r/>
            <w:r>
              <w:t>MSI M2</w:t>
            </w:r>
          </w:p>
        </w:tc>
      </w:tr>
      <w:tr>
        <w:tc>
          <w:tcPr>
            <w:tcW w:type="dxa" w:w="3120"/>
          </w:tcPr>
          <w:p>
            <w:r/>
            <w:r>
              <w:t>10</w:t>
            </w:r>
          </w:p>
        </w:tc>
        <w:tc>
          <w:tcPr>
            <w:tcW w:type="dxa" w:w="3120"/>
          </w:tcPr>
          <w:p>
            <w:r/>
            <w:r>
              <w:t>MSI weekly ROAS and ad sales export. The chart is labelled illustrative</w:t>
            </w:r>
          </w:p>
        </w:tc>
        <w:tc>
          <w:tcPr>
            <w:tcW w:type="dxa" w:w="3120"/>
          </w:tcPr>
          <w:p>
            <w:r/>
            <w:r>
              <w:t>MSI M6 step 03</w:t>
            </w:r>
          </w:p>
        </w:tc>
      </w:tr>
      <w:tr>
        <w:tc>
          <w:tcPr>
            <w:tcW w:type="dxa" w:w="3120"/>
          </w:tcPr>
          <w:p>
            <w:r/>
            <w:r>
              <w:t>11</w:t>
            </w:r>
          </w:p>
        </w:tc>
        <w:tc>
          <w:tcPr>
            <w:tcW w:type="dxa" w:w="3120"/>
          </w:tcPr>
          <w:p>
            <w:r/>
            <w:r>
              <w:t>Powerlook revenue export. The festive curve is illustrative</w:t>
            </w:r>
          </w:p>
        </w:tc>
        <w:tc>
          <w:tcPr>
            <w:tcW w:type="dxa" w:w="3120"/>
          </w:tcPr>
          <w:p>
            <w:r/>
            <w:r>
              <w:t>Powerlook M6 step 03</w:t>
            </w:r>
          </w:p>
        </w:tc>
      </w:tr>
      <w:tr>
        <w:tc>
          <w:tcPr>
            <w:tcW w:type="dxa" w:w="3120"/>
          </w:tcPr>
          <w:p>
            <w:r/>
            <w:r>
              <w:t>12</w:t>
            </w:r>
          </w:p>
        </w:tc>
        <w:tc>
          <w:tcPr>
            <w:tcW w:type="dxa" w:w="3120"/>
          </w:tcPr>
          <w:p>
            <w:r/>
            <w:r>
              <w:t>MSI BSR evidence — category node and date observed</w:t>
            </w:r>
          </w:p>
        </w:tc>
        <w:tc>
          <w:tcPr>
            <w:tcW w:type="dxa" w:w="3120"/>
          </w:tcPr>
          <w:p>
            <w:r/>
            <w:r>
              <w:t>MSI M7</w:t>
            </w:r>
          </w:p>
        </w:tc>
      </w:tr>
      <w:tr>
        <w:tc>
          <w:tcPr>
            <w:tcW w:type="dxa" w:w="3120"/>
          </w:tcPr>
          <w:p>
            <w:r/>
            <w:r>
              <w:t>13</w:t>
            </w:r>
          </w:p>
        </w:tc>
        <w:tc>
          <w:tcPr>
            <w:tcW w:type="dxa" w:w="3120"/>
          </w:tcPr>
          <w:p>
            <w:r/>
            <w:r>
              <w:t>Avaana ROI basis — what goes into the 13x</w:t>
            </w:r>
          </w:p>
        </w:tc>
        <w:tc>
          <w:tcPr>
            <w:tcW w:type="dxa" w:w="3120"/>
          </w:tcPr>
          <w:p>
            <w:r/>
            <w:r>
              <w:t>Avaana M2, M7</w:t>
            </w:r>
          </w:p>
        </w:tc>
      </w:tr>
      <w:tr>
        <w:tc>
          <w:tcPr>
            <w:tcW w:type="dxa" w:w="3120"/>
          </w:tcPr>
          <w:p>
            <w:r/>
            <w:r>
              <w:t>14</w:t>
            </w:r>
          </w:p>
        </w:tc>
        <w:tc>
          <w:tcPr>
            <w:tcW w:type="dxa" w:w="3120"/>
          </w:tcPr>
          <w:p>
            <w:r/>
            <w:r>
              <w:t>USD conversion rate used for Powerlook's source INR figure</w:t>
            </w:r>
          </w:p>
        </w:tc>
        <w:tc>
          <w:tcPr>
            <w:tcW w:type="dxa" w:w="3120"/>
          </w:tcPr>
          <w:p>
            <w:r/>
            <w:r>
              <w:t>Powerlook M1, M2</w:t>
            </w:r>
          </w:p>
        </w:tc>
      </w:tr>
      <w:tr>
        <w:tc>
          <w:tcPr>
            <w:tcW w:type="dxa" w:w="3120"/>
          </w:tcPr>
          <w:p>
            <w:r/>
            <w:r>
              <w:t>15</w:t>
            </w:r>
          </w:p>
        </w:tc>
        <w:tc>
          <w:tcPr>
            <w:tcW w:type="dxa" w:w="3120"/>
          </w:tcPr>
          <w:p>
            <w:r/>
            <w:r>
              <w:t>Nobero measurement window and baseline for the 65% conversion lift</w:t>
            </w:r>
          </w:p>
        </w:tc>
        <w:tc>
          <w:tcPr>
            <w:tcW w:type="dxa" w:w="3120"/>
          </w:tcPr>
          <w:p>
            <w:r/>
            <w:r>
              <w:t>Nobero M7</w:t>
            </w:r>
          </w:p>
        </w:tc>
      </w:tr>
    </w:tbl>
    <w:p/>
    <w:p>
      <w:pPr>
        <w:pStyle w:val="Heading3"/>
      </w:pPr>
      <w:r>
        <w:t>Source-data corrections (fix at the wiki, not just on the page)</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w:t>
            </w:r>
          </w:p>
        </w:tc>
        <w:tc>
          <w:tcPr>
            <w:tcW w:type="dxa" w:w="4680"/>
          </w:tcPr>
          <w:p>
            <w:r>
              <w:rPr>
                <w:b/>
              </w:rPr>
            </w:r>
            <w:r>
              <w:rPr>
                <w:b/>
              </w:rPr>
              <w:t>Item</w:t>
            </w:r>
          </w:p>
        </w:tc>
      </w:tr>
      <w:tr>
        <w:tc>
          <w:tcPr>
            <w:tcW w:type="dxa" w:w="4680"/>
          </w:tcPr>
          <w:p>
            <w:r/>
            <w:r>
              <w:t>16</w:t>
            </w:r>
          </w:p>
        </w:tc>
        <w:tc>
          <w:tcPr>
            <w:tcW w:type="dxa" w:w="4680"/>
          </w:tcPr>
          <w:p>
            <w:r/>
            <w:r>
              <w:t>`Nobero-Testimonial` names 'Bala Krishna, Founder'. The supplied slide and CLAUDE.md both say 'Bala Satish, Co-Founder'. Two of three sources agree against the wiki</w:t>
            </w:r>
          </w:p>
        </w:tc>
      </w:tr>
      <w:tr>
        <w:tc>
          <w:tcPr>
            <w:tcW w:type="dxa" w:w="4680"/>
          </w:tcPr>
          <w:p>
            <w:r/>
            <w:r>
              <w:t>17</w:t>
            </w:r>
          </w:p>
        </w:tc>
        <w:tc>
          <w:tcPr>
            <w:tcW w:type="dxa" w:w="4680"/>
          </w:tcPr>
          <w:p>
            <w:r/>
            <w:r>
              <w:t>`Atomberg-Case-Studies` is titled '177% Conversion Growth' but its results table says 2.1x (0.12% to 0.25%), which is +108%. The 177% is currently live in the homepage hero</w:t>
            </w:r>
          </w:p>
        </w:tc>
      </w:tr>
      <w:tr>
        <w:tc>
          <w:tcPr>
            <w:tcW w:type="dxa" w:w="4680"/>
          </w:tcPr>
          <w:p>
            <w:r/>
            <w:r>
              <w:t>18</w:t>
            </w:r>
          </w:p>
        </w:tc>
        <w:tc>
          <w:tcPr>
            <w:tcW w:type="dxa" w:w="4680"/>
          </w:tcPr>
          <w:p>
            <w:r/>
            <w:r>
              <w:t>`MSI-Case-Studies` title claims '#1 BSR' against a results table saying 'Top 10'. Same defect as Atomberg, so check titles against results tables across all 52 case-study notes</w:t>
            </w:r>
          </w:p>
        </w:tc>
      </w:tr>
      <w:tr>
        <w:tc>
          <w:tcPr>
            <w:tcW w:type="dxa" w:w="4680"/>
          </w:tcPr>
          <w:p>
            <w:r/>
            <w:r>
              <w:t>19</w:t>
            </w:r>
          </w:p>
        </w:tc>
        <w:tc>
          <w:tcPr>
            <w:tcW w:type="dxa" w:w="4680"/>
          </w:tcPr>
          <w:p>
            <w:r/>
            <w:r>
              <w:t>No `Nobero-Case-Studies` note exists. The content here came from the brand note, the testimonial and the supplied slide</w:t>
            </w:r>
          </w:p>
        </w:tc>
      </w:tr>
      <w:tr>
        <w:tc>
          <w:tcPr>
            <w:tcW w:type="dxa" w:w="4680"/>
          </w:tcPr>
          <w:p>
            <w:r/>
            <w:r>
              <w:t>20</w:t>
            </w:r>
          </w:p>
        </w:tc>
        <w:tc>
          <w:tcPr>
            <w:tcW w:type="dxa" w:w="4680"/>
          </w:tcPr>
          <w:p>
            <w:r/>
            <w:r>
              <w:t>CLAUDE.md lists Nobero in the Marketplaces logo list, the testimonial list and the case-study heading example, all of which conflict with its CRM record</w:t>
            </w:r>
          </w:p>
        </w:tc>
      </w:tr>
    </w:tbl>
    <w:p/>
    <w:p>
      <w:pPr>
        <w:pStyle w:val="Heading3"/>
      </w:pPr>
      <w:r>
        <w:t>Page furniture</w:t>
      </w:r>
    </w:p>
    <w:p>
      <w:pPr>
        <w:pStyle w:val="ListBullet"/>
      </w:pPr>
      <w:r>
        <w:t>Privacy line and terms for the form (M10)</w:t>
      </w:r>
    </w:p>
    <w:p>
      <w:pPr>
        <w:pStyle w:val="ListBullet"/>
      </w:pPr>
      <w:r>
        <w:t>Form destination, CRM or inbox, plus the 'Service you need' option list (M10)</w:t>
      </w:r>
    </w:p>
    <w:p>
      <w:pPr>
        <w:pStyle w:val="ListBullet"/>
      </w:pPr>
      <w:r>
        <w:t>Author and publish date per study (M1). Currently 'Written by Growisto' with a pending date</w:t>
      </w:r>
    </w:p>
    <w:p>
      <w:pPr>
        <w:pStyle w:val="ListBullet"/>
      </w:pPr>
      <w:r>
        <w:t>URL slugs and the breadcrumb taxonomy. The last crumb currently jams service and sub-service together</w:t>
      </w:r>
    </w:p>
    <w:p>
      <w:pPr>
        <w:pStyle w:val="ListBullet"/>
      </w:pPr>
      <w:r>
        <w:t>Meta title and description per page</w:t>
      </w:r>
    </w:p>
    <w:p>
      <w:pPr>
        <w:pStyle w:val="ListBullet"/>
      </w:pPr>
      <w:r>
        <w:t>Second outcome metric per study (M7). The frame reserves the slot</w:t>
      </w:r>
    </w:p>
    <w:p>
      <w:pPr>
        <w:pStyle w:val="ListBullet"/>
      </w:pPr>
      <w:r>
        <w:t>Related-content logic for M11 across a 52-study library</w:t>
      </w:r>
    </w:p>
    <w:p>
      <w:pPr>
        <w:pStyle w:val="ListBullet"/>
      </w:pPr>
      <w:r>
        <w:t>Responsive breakpoints. The Figma frame is 1440 only; the four-across results band and 78px numerals need a mobile spec</w:t>
      </w:r>
    </w:p>
    <w:p>
      <w:pPr>
        <w:pStyle w:val="ListBullet"/>
      </w:pPr>
      <w:r>
        <w:t>Chart style spec. If data viz recurs across studies it needs one defined treatment</w:t>
      </w:r>
    </w:p>
    <w:p>
      <w:pPr>
        <w:pStyle w:val="Heading3"/>
      </w:pPr>
      <w:r>
        <w:t>Voice and tone</w:t>
      </w:r>
    </w:p>
    <w:p>
      <w:pPr>
        <w:pStyle w:val="ListBullet"/>
      </w:pPr>
      <w:r>
        <w:t>Internal tool names (Drona, Optimus) appear in the Nobero source slide. CLAUDE.md voice rule 4 keeps internal methodology names out of client-facing copy, so they are translated here. Note the established case study title is 'Drona Automation for Scaling Fashion Brand', which would override that if kept.</w:t>
      </w:r>
    </w:p>
    <w:p>
      <w:pPr>
        <w:pStyle w:val="ListBullet"/>
      </w:pPr>
      <w:r>
        <w:t>Case-study cards elsewhere are locked to 3 results + 4 approach bullets. A dedicated page is not a card, so these carry 4 results. Confirm that is intended.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