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val="clear" w:color="auto" w:fill="0B2545"/>
            <w:tcMar>
              <w:top w:w="240" w:type="dxa"/>
              <w:bottom w:w="240" w:type="dxa"/>
              <w:left w:w="200" w:type="dxa"/>
              <w:right w:w="200" w:type="dxa"/>
            </w:tcMar>
          </w:tcPr>
          <w:p>
            <w:pPr>
              <w:spacing w:after="80"/>
              <w:jc w:val="center"/>
            </w:pPr>
            <w:r>
              <w:rPr>
                <w:rFonts w:ascii="Calibri" w:hAnsi="Calibri"/>
                <w:b/>
                <w:color w:val="C58A10"/>
                <w:sz w:val="22"/>
              </w:rPr>
              <w:t>INDIAKART E-COMMERCE ANALYTICS PROJECT</w:t>
            </w:r>
          </w:p>
          <w:p>
            <w:pPr>
              <w:spacing w:after="120"/>
              <w:jc w:val="center"/>
            </w:pPr>
            <w:r>
              <w:rPr>
                <w:rFonts w:ascii="Calibri" w:hAnsi="Calibri"/>
                <w:b/>
                <w:color w:val="FFFFFF"/>
                <w:sz w:val="44"/>
              </w:rPr>
              <w:t>Executive Management Summary Report</w:t>
            </w:r>
          </w:p>
          <w:p>
            <w:pPr>
              <w:spacing w:after="0"/>
              <w:jc w:val="center"/>
            </w:pPr>
            <w:r>
              <w:rPr>
                <w:rFonts w:ascii="Calibri" w:hAnsi="Calibri"/>
                <w:i/>
                <w:color w:val="E2E8F0"/>
                <w:sz w:val="20"/>
              </w:rPr>
              <w:t>Prepared for: Chief Executive Officer, IndiaKart | Reporting Period: June 2023 – June 2025</w:t>
            </w:r>
          </w:p>
        </w:tc>
      </w:tr>
    </w:tbl>
    <w:p>
      <w:pPr>
        <w:spacing w:after="240"/>
      </w:pPr>
    </w:p>
    <w:p>
      <w:pPr>
        <w:keepNext/>
        <w:spacing w:before="360" w:after="120"/>
      </w:pPr>
      <w:r>
        <w:rPr>
          <w:rFonts w:ascii="Calibri" w:hAnsi="Calibri"/>
          <w:b/>
          <w:color w:val="0B2545"/>
          <w:sz w:val="32"/>
        </w:rPr>
        <w:t>1. Executive Summary — Business Performance Overview</w:t>
      </w:r>
    </w:p>
    <w:p>
      <w:pPr>
        <w:spacing w:after="160" w:line="276" w:lineRule="auto"/>
      </w:pPr>
      <w:r>
        <w:rPr>
          <w:rFonts w:ascii="Calibri" w:hAnsi="Calibri"/>
          <w:sz w:val="22"/>
        </w:rPr>
        <w:t xml:space="preserve">Between June 2023 and June 2025, IndiaKart generated </w:t>
      </w:r>
      <w:r>
        <w:rPr>
          <w:rFonts w:ascii="Calibri" w:hAnsi="Calibri"/>
          <w:b/>
          <w:sz w:val="22"/>
        </w:rPr>
        <w:t>₹3.15 Billion in overall revenue</w:t>
      </w:r>
      <w:r>
        <w:rPr>
          <w:rFonts w:ascii="Calibri" w:hAnsi="Calibri"/>
          <w:sz w:val="22"/>
        </w:rPr>
        <w:t xml:space="preserve"> across </w:t>
      </w:r>
      <w:r>
        <w:rPr>
          <w:rFonts w:ascii="Calibri" w:hAnsi="Calibri"/>
          <w:b/>
          <w:sz w:val="22"/>
        </w:rPr>
        <w:t>50,000 total purchases</w:t>
      </w:r>
      <w:r>
        <w:rPr>
          <w:rFonts w:ascii="Calibri" w:hAnsi="Calibri"/>
          <w:sz w:val="22"/>
        </w:rPr>
        <w:t xml:space="preserve"> and </w:t>
      </w:r>
      <w:r>
        <w:rPr>
          <w:rFonts w:ascii="Calibri" w:hAnsi="Calibri"/>
          <w:b/>
          <w:sz w:val="22"/>
        </w:rPr>
        <w:t>10,000 active customers</w:t>
      </w:r>
      <w:r>
        <w:rPr>
          <w:rFonts w:ascii="Calibri" w:hAnsi="Calibri"/>
          <w:sz w:val="22"/>
        </w:rPr>
        <w:t xml:space="preserve">, maintaining a healthy platform average spending profile. The platform demonstrates strong consumer traction in top populous states, led by Electronics and Office Supplies. However, operational efficiency is significantly impaired by an </w:t>
      </w:r>
      <w:r>
        <w:rPr>
          <w:rFonts w:ascii="Calibri" w:hAnsi="Calibri"/>
          <w:b/>
          <w:sz w:val="22"/>
        </w:rPr>
        <w:t>11.99% order cancellation rate (~6,000 orders)</w:t>
      </w:r>
      <w:r>
        <w:rPr>
          <w:rFonts w:ascii="Calibri" w:hAnsi="Calibri"/>
          <w:sz w:val="22"/>
        </w:rPr>
        <w:t xml:space="preserve"> and a </w:t>
      </w:r>
      <w:r>
        <w:rPr>
          <w:rFonts w:ascii="Calibri" w:hAnsi="Calibri"/>
          <w:b/>
          <w:sz w:val="22"/>
        </w:rPr>
        <w:t>7.87% post-delivery return rate (~4,000 orders)</w:t>
      </w:r>
      <w:r>
        <w:rPr>
          <w:rFonts w:ascii="Calibri" w:hAnsi="Calibri"/>
          <w:sz w:val="22"/>
        </w:rPr>
        <w:t xml:space="preserve"> across 32,000 delivered shipments. Furthermore, supply chain operations exhibit severe inventory imbalances across regional facilities, with </w:t>
      </w:r>
      <w:r>
        <w:rPr>
          <w:rFonts w:ascii="Calibri" w:hAnsi="Calibri"/>
          <w:b/>
          <w:sz w:val="22"/>
        </w:rPr>
        <w:t>Chennai holding 49,000 units</w:t>
      </w:r>
      <w:r>
        <w:rPr>
          <w:rFonts w:ascii="Calibri" w:hAnsi="Calibri"/>
          <w:sz w:val="22"/>
        </w:rPr>
        <w:t xml:space="preserve"> while high-demand hubs like </w:t>
      </w:r>
      <w:r>
        <w:rPr>
          <w:rFonts w:ascii="Calibri" w:hAnsi="Calibri"/>
          <w:b/>
          <w:sz w:val="22"/>
        </w:rPr>
        <w:t>Mumbai hold only 33,000 units</w:t>
      </w:r>
      <w:r>
        <w:rPr>
          <w:rFonts w:ascii="Calibri" w:hAnsi="Calibri"/>
          <w:sz w:val="22"/>
        </w:rPr>
        <w:t>. Resolving these fulfillment leaks and rebalancing warehouse stock represents IndiaKart's single highest-value margin optimization opportunity.</w:t>
      </w:r>
    </w:p>
    <w:tbl>
      <w:tblPr>
        <w:tblW w:type="auto" w:w="0"/>
        <w:jc w:val="center"/>
        <w:tblLayout w:type="fixed"/>
        <w:tblLook w:firstColumn="1" w:firstRow="1" w:lastColumn="0" w:lastRow="0" w:noHBand="0" w:noVBand="1" w:val="04A0"/>
      </w:tblPr>
      <w:tblGrid>
        <w:gridCol w:w="3312"/>
        <w:gridCol w:w="3312"/>
        <w:gridCol w:w="3312"/>
      </w:tblGrid>
      <w:tr>
        <w:tc>
          <w:tcPr>
            <w:tcW w:type="dxa" w:w="3168"/>
            <w:shd w:val="clear" w:color="auto" w:fill="EEF4F8"/>
            <w:tcMar>
              <w:top w:w="120" w:type="dxa"/>
              <w:bottom w:w="120" w:type="dxa"/>
              <w:left w:w="120" w:type="dxa"/>
              <w:right w:w="120" w:type="dxa"/>
            </w:tcMar>
          </w:tcPr>
          <w:p>
            <w:pPr>
              <w:spacing w:after="40"/>
              <w:jc w:val="center"/>
            </w:pPr>
            <w:r>
              <w:rPr>
                <w:rFonts w:ascii="Calibri" w:hAnsi="Calibri"/>
                <w:b/>
                <w:color w:val="0B2545"/>
                <w:sz w:val="30"/>
              </w:rPr>
              <w:t>₹3.15 Billion</w:t>
            </w:r>
          </w:p>
          <w:p>
            <w:pPr>
              <w:spacing w:after="40"/>
              <w:jc w:val="center"/>
            </w:pPr>
            <w:r>
              <w:rPr>
                <w:rFonts w:ascii="Calibri" w:hAnsi="Calibri"/>
                <w:b/>
                <w:color w:val="C58A10"/>
                <w:sz w:val="19"/>
              </w:rPr>
              <w:t>Gross Merchandise Value</w:t>
            </w:r>
          </w:p>
          <w:p>
            <w:pPr>
              <w:spacing w:after="0"/>
              <w:jc w:val="center"/>
            </w:pPr>
            <w:r>
              <w:rPr>
                <w:rFonts w:ascii="Calibri" w:hAnsi="Calibri"/>
                <w:i/>
                <w:color w:val="64748B"/>
                <w:sz w:val="17"/>
              </w:rPr>
              <w:t>50,000 Completed Purchases</w:t>
            </w:r>
          </w:p>
        </w:tc>
        <w:tc>
          <w:tcPr>
            <w:tcW w:type="dxa" w:w="3168"/>
            <w:shd w:val="clear" w:color="auto" w:fill="EEF4F8"/>
            <w:tcMar>
              <w:top w:w="120" w:type="dxa"/>
              <w:bottom w:w="120" w:type="dxa"/>
              <w:left w:w="120" w:type="dxa"/>
              <w:right w:w="120" w:type="dxa"/>
            </w:tcMar>
          </w:tcPr>
          <w:p>
            <w:pPr>
              <w:spacing w:after="40"/>
              <w:jc w:val="center"/>
            </w:pPr>
            <w:r>
              <w:rPr>
                <w:rFonts w:ascii="Calibri" w:hAnsi="Calibri"/>
                <w:b/>
                <w:color w:val="0B2545"/>
                <w:sz w:val="30"/>
              </w:rPr>
              <w:t>10,000 Total</w:t>
            </w:r>
          </w:p>
          <w:p>
            <w:pPr>
              <w:spacing w:after="40"/>
              <w:jc w:val="center"/>
            </w:pPr>
            <w:r>
              <w:rPr>
                <w:rFonts w:ascii="Calibri" w:hAnsi="Calibri"/>
                <w:b/>
                <w:color w:val="C58A10"/>
                <w:sz w:val="19"/>
              </w:rPr>
              <w:t>Active Customer Base</w:t>
            </w:r>
          </w:p>
          <w:p>
            <w:pPr>
              <w:spacing w:after="0"/>
              <w:jc w:val="center"/>
            </w:pPr>
            <w:r>
              <w:rPr>
                <w:rFonts w:ascii="Calibri" w:hAnsi="Calibri"/>
                <w:i/>
                <w:color w:val="64748B"/>
                <w:sz w:val="17"/>
              </w:rPr>
              <w:t>33 New Monthly Additions</w:t>
            </w:r>
          </w:p>
        </w:tc>
        <w:tc>
          <w:tcPr>
            <w:tcW w:type="dxa" w:w="3168"/>
            <w:shd w:val="clear" w:color="auto" w:fill="EEF4F8"/>
            <w:tcMar>
              <w:top w:w="120" w:type="dxa"/>
              <w:bottom w:w="120" w:type="dxa"/>
              <w:left w:w="120" w:type="dxa"/>
              <w:right w:w="120" w:type="dxa"/>
            </w:tcMar>
          </w:tcPr>
          <w:p>
            <w:pPr>
              <w:spacing w:after="40"/>
              <w:jc w:val="center"/>
            </w:pPr>
            <w:r>
              <w:rPr>
                <w:rFonts w:ascii="Calibri" w:hAnsi="Calibri"/>
                <w:b/>
                <w:color w:val="0B2545"/>
                <w:sz w:val="30"/>
              </w:rPr>
              <w:t>247,000 Units</w:t>
            </w:r>
          </w:p>
          <w:p>
            <w:pPr>
              <w:spacing w:after="40"/>
              <w:jc w:val="center"/>
            </w:pPr>
            <w:r>
              <w:rPr>
                <w:rFonts w:ascii="Calibri" w:hAnsi="Calibri"/>
                <w:b/>
                <w:color w:val="C58A10"/>
                <w:sz w:val="19"/>
              </w:rPr>
              <w:t>Warehouse Stock</w:t>
            </w:r>
          </w:p>
          <w:p>
            <w:pPr>
              <w:spacing w:after="0"/>
              <w:jc w:val="center"/>
            </w:pPr>
            <w:r>
              <w:rPr>
                <w:rFonts w:ascii="Calibri" w:hAnsi="Calibri"/>
                <w:i/>
                <w:color w:val="64748B"/>
                <w:sz w:val="17"/>
              </w:rPr>
              <w:t>6 Regional Facilities</w:t>
            </w:r>
          </w:p>
        </w:tc>
      </w:tr>
      <w:tr>
        <w:tc>
          <w:tcPr>
            <w:tcW w:type="dxa" w:w="3168"/>
            <w:shd w:val="clear" w:color="auto" w:fill="EEF4F8"/>
            <w:tcMar>
              <w:top w:w="120" w:type="dxa"/>
              <w:bottom w:w="120" w:type="dxa"/>
              <w:left w:w="120" w:type="dxa"/>
              <w:right w:w="120" w:type="dxa"/>
            </w:tcMar>
          </w:tcPr>
          <w:p>
            <w:pPr>
              <w:spacing w:after="40"/>
              <w:jc w:val="center"/>
            </w:pPr>
            <w:r>
              <w:rPr>
                <w:rFonts w:ascii="Calibri" w:hAnsi="Calibri"/>
                <w:b/>
                <w:color w:val="0B2545"/>
                <w:sz w:val="30"/>
              </w:rPr>
              <w:t>11.99% Rate</w:t>
            </w:r>
          </w:p>
          <w:p>
            <w:pPr>
              <w:spacing w:after="40"/>
              <w:jc w:val="center"/>
            </w:pPr>
            <w:r>
              <w:rPr>
                <w:rFonts w:ascii="Calibri" w:hAnsi="Calibri"/>
                <w:b/>
                <w:color w:val="C58A10"/>
                <w:sz w:val="19"/>
              </w:rPr>
              <w:t>Pre-Fulfillment Cancellations</w:t>
            </w:r>
          </w:p>
          <w:p>
            <w:pPr>
              <w:spacing w:after="0"/>
              <w:jc w:val="center"/>
            </w:pPr>
            <w:r>
              <w:rPr>
                <w:rFonts w:ascii="Calibri" w:hAnsi="Calibri"/>
                <w:i/>
                <w:color w:val="64748B"/>
                <w:sz w:val="17"/>
              </w:rPr>
              <w:t>~6,000 Lost Orders</w:t>
            </w:r>
          </w:p>
        </w:tc>
        <w:tc>
          <w:tcPr>
            <w:tcW w:type="dxa" w:w="3168"/>
            <w:shd w:val="clear" w:color="auto" w:fill="EEF4F8"/>
            <w:tcMar>
              <w:top w:w="120" w:type="dxa"/>
              <w:bottom w:w="120" w:type="dxa"/>
              <w:left w:w="120" w:type="dxa"/>
              <w:right w:w="120" w:type="dxa"/>
            </w:tcMar>
          </w:tcPr>
          <w:p>
            <w:pPr>
              <w:spacing w:after="40"/>
              <w:jc w:val="center"/>
            </w:pPr>
            <w:r>
              <w:rPr>
                <w:rFonts w:ascii="Calibri" w:hAnsi="Calibri"/>
                <w:b/>
                <w:color w:val="0B2545"/>
                <w:sz w:val="30"/>
              </w:rPr>
              <w:t>7.87% Rate</w:t>
            </w:r>
          </w:p>
          <w:p>
            <w:pPr>
              <w:spacing w:after="40"/>
              <w:jc w:val="center"/>
            </w:pPr>
            <w:r>
              <w:rPr>
                <w:rFonts w:ascii="Calibri" w:hAnsi="Calibri"/>
                <w:b/>
                <w:color w:val="C58A10"/>
                <w:sz w:val="19"/>
              </w:rPr>
              <w:t>Post-Delivery Returns</w:t>
            </w:r>
          </w:p>
          <w:p>
            <w:pPr>
              <w:spacing w:after="0"/>
              <w:jc w:val="center"/>
            </w:pPr>
            <w:r>
              <w:rPr>
                <w:rFonts w:ascii="Calibri" w:hAnsi="Calibri"/>
                <w:i/>
                <w:color w:val="64748B"/>
                <w:sz w:val="17"/>
              </w:rPr>
              <w:t>~4,000 Refunded Orders</w:t>
            </w:r>
          </w:p>
        </w:tc>
        <w:tc>
          <w:tcPr>
            <w:tcW w:type="dxa" w:w="3168"/>
            <w:shd w:val="clear" w:color="auto" w:fill="EEF4F8"/>
            <w:tcMar>
              <w:top w:w="120" w:type="dxa"/>
              <w:bottom w:w="120" w:type="dxa"/>
              <w:left w:w="120" w:type="dxa"/>
              <w:right w:w="120" w:type="dxa"/>
            </w:tcMar>
          </w:tcPr>
          <w:p>
            <w:pPr>
              <w:spacing w:after="40"/>
              <w:jc w:val="center"/>
            </w:pPr>
            <w:r>
              <w:rPr>
                <w:rFonts w:ascii="Calibri" w:hAnsi="Calibri"/>
                <w:b/>
                <w:color w:val="0B2545"/>
                <w:sz w:val="30"/>
              </w:rPr>
              <w:t>102.10%</w:t>
            </w:r>
          </w:p>
          <w:p>
            <w:pPr>
              <w:spacing w:after="40"/>
              <w:jc w:val="center"/>
            </w:pPr>
            <w:r>
              <w:rPr>
                <w:rFonts w:ascii="Calibri" w:hAnsi="Calibri"/>
                <w:b/>
                <w:color w:val="C58A10"/>
                <w:sz w:val="19"/>
              </w:rPr>
              <w:t>Beauty &amp; Health Return Rate</w:t>
            </w:r>
          </w:p>
          <w:p>
            <w:pPr>
              <w:spacing w:after="0"/>
              <w:jc w:val="center"/>
            </w:pPr>
            <w:r>
              <w:rPr>
                <w:rFonts w:ascii="Calibri" w:hAnsi="Calibri"/>
                <w:i/>
                <w:color w:val="64748B"/>
                <w:sz w:val="17"/>
              </w:rPr>
              <w:t>Severe Quality Anomaly</w:t>
            </w:r>
          </w:p>
        </w:tc>
      </w:tr>
    </w:tbl>
    <w:p>
      <w:pPr>
        <w:spacing w:after="240"/>
      </w:pPr>
    </w:p>
    <w:p>
      <w:pPr>
        <w:keepNext/>
        <w:spacing w:before="360" w:after="120"/>
      </w:pPr>
      <w:r>
        <w:rPr>
          <w:rFonts w:ascii="Calibri" w:hAnsi="Calibri"/>
          <w:b/>
          <w:color w:val="0B2545"/>
          <w:sz w:val="32"/>
        </w:rPr>
        <w:t>2. Top 3 Strategic Business Findings</w:t>
      </w:r>
    </w:p>
    <w:p>
      <w:pPr>
        <w:spacing w:after="120"/>
        <w:ind w:left="288"/>
      </w:pPr>
      <w:r>
        <w:rPr>
          <w:b/>
          <w:color w:val="C58A10"/>
        </w:rPr>
        <w:t xml:space="preserve">▪ </w:t>
      </w:r>
      <w:r>
        <w:rPr>
          <w:rFonts w:ascii="Calibri" w:hAnsi="Calibri"/>
          <w:b/>
          <w:color w:val="0B2545"/>
          <w:sz w:val="22"/>
        </w:rPr>
        <w:t xml:space="preserve">Electronics &amp; Office Supplies Drive Commercial Scale: </w:t>
      </w:r>
      <w:r>
        <w:rPr>
          <w:rFonts w:ascii="Calibri" w:hAnsi="Calibri"/>
          <w:sz w:val="21"/>
        </w:rPr>
        <w:t>Electronics leads platform revenue with ₹1.64 Billion, contributing over 52% of GMV. Office Supplies generates the highest order volume at 10,152 purchases. Automotive delivers the highest profit margin yield despite lower overall volume. Demand is heavily clustered in Uttar Pradesh, Maharashtra, and Gujarat.</w:t>
      </w:r>
    </w:p>
    <w:p>
      <w:pPr>
        <w:spacing w:after="120"/>
        <w:ind w:left="288"/>
      </w:pPr>
      <w:r>
        <w:rPr>
          <w:b/>
          <w:color w:val="C58A10"/>
        </w:rPr>
        <w:t xml:space="preserve">▪ </w:t>
      </w:r>
      <w:r>
        <w:rPr>
          <w:rFonts w:ascii="Calibri" w:hAnsi="Calibri"/>
          <w:b/>
          <w:color w:val="0B2545"/>
          <w:sz w:val="22"/>
        </w:rPr>
        <w:t xml:space="preserve">High Cancellation &amp; Return Leaks Erode Net Profitability: </w:t>
      </w:r>
      <w:r>
        <w:rPr>
          <w:rFonts w:ascii="Calibri" w:hAnsi="Calibri"/>
          <w:sz w:val="21"/>
        </w:rPr>
        <w:t>Pre-fulfillment cancellations stand at 11.99% (~6,000 orders), driven by stock delays and checkout friction. Post-delivery returns reach 7.87% (~4,000 orders), led by Beauty &amp; Health (102.10% return rate anomaly) and Fashion. The top return drivers are Size Mismatch (38%), Buyer Remorse (27%), Transit Damage (21%), and Wrong Product Shipment (14%).</w:t>
      </w:r>
    </w:p>
    <w:p>
      <w:pPr>
        <w:spacing w:after="120"/>
        <w:ind w:left="288"/>
      </w:pPr>
      <w:r>
        <w:rPr>
          <w:b/>
          <w:color w:val="C58A10"/>
        </w:rPr>
        <w:t xml:space="preserve">▪ </w:t>
      </w:r>
      <w:r>
        <w:rPr>
          <w:rFonts w:ascii="Calibri" w:hAnsi="Calibri"/>
          <w:b/>
          <w:color w:val="0B2545"/>
          <w:sz w:val="22"/>
        </w:rPr>
        <w:t xml:space="preserve">Critical Regional Stock Imbalance Across Warehouses: </w:t>
      </w:r>
      <w:r>
        <w:rPr>
          <w:rFonts w:ascii="Calibri" w:hAnsi="Calibri"/>
          <w:sz w:val="21"/>
        </w:rPr>
        <w:t>IndiaKart holds 247,000 units across 6 warehouses, averaging 41.23k units per center. Chennai-WH5 is severely overstocked at 49,000 units, while Mumbai-WH1 holds only 33,000 units despite serving the highest customer order concentration. Across the network, 242 SKUs face low-stock warnings and 2 SKUs are completely out of stock.</w:t>
      </w:r>
    </w:p>
    <w:p>
      <w:pPr>
        <w:spacing w:before="160" w:after="80"/>
        <w:jc w:val="center"/>
      </w:pPr>
      <w:r>
        <w:drawing>
          <wp:inline xmlns:a="http://schemas.openxmlformats.org/drawingml/2006/main" xmlns:pic="http://schemas.openxmlformats.org/drawingml/2006/picture">
            <wp:extent cx="5669280" cy="2655232"/>
            <wp:docPr id="1" name="Picture 1"/>
            <wp:cNvGraphicFramePr>
              <a:graphicFrameLocks noChangeAspect="1"/>
            </wp:cNvGraphicFramePr>
            <a:graphic>
              <a:graphicData uri="http://schemas.openxmlformats.org/drawingml/2006/picture">
                <pic:pic>
                  <pic:nvPicPr>
                    <pic:cNvPr id="0" name="dept_chart.png"/>
                    <pic:cNvPicPr/>
                  </pic:nvPicPr>
                  <pic:blipFill>
                    <a:blip r:embed="rId9"/>
                    <a:stretch>
                      <a:fillRect/>
                    </a:stretch>
                  </pic:blipFill>
                  <pic:spPr>
                    <a:xfrm>
                      <a:off x="0" y="0"/>
                      <a:ext cx="5669280" cy="2655232"/>
                    </a:xfrm>
                    <a:prstGeom prst="rect"/>
                  </pic:spPr>
                </pic:pic>
              </a:graphicData>
            </a:graphic>
          </wp:inline>
        </w:drawing>
      </w:r>
    </w:p>
    <w:p>
      <w:pPr>
        <w:spacing w:after="240"/>
        <w:jc w:val="center"/>
      </w:pPr>
      <w:r>
        <w:rPr>
          <w:rFonts w:ascii="Calibri" w:hAnsi="Calibri"/>
          <w:i/>
          <w:color w:val="64748B"/>
          <w:sz w:val="18"/>
        </w:rPr>
        <w:t>Figure 1: Revenue Generation Breakdown Across Product Categories (₹ Bn)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0B2545"/>
            <w:tcMar>
              <w:top w:w="100" w:type="dxa"/>
              <w:bottom w:w="100" w:type="dxa"/>
              <w:left w:w="100" w:type="dxa"/>
              <w:right w:w="100" w:type="dxa"/>
            </w:tcMar>
          </w:tcPr>
          <w:p>
            <w:pPr>
              <w:jc w:val="left"/>
            </w:pPr>
            <w:r>
              <w:rPr>
                <w:rFonts w:ascii="Calibri" w:hAnsi="Calibri"/>
                <w:b/>
                <w:color w:val="FFFFFF"/>
                <w:sz w:val="20"/>
              </w:rPr>
              <w:t>Department</w:t>
            </w:r>
          </w:p>
        </w:tc>
        <w:tc>
          <w:tcPr>
            <w:tcW w:type="dxa" w:w="1584"/>
            <w:shd w:val="clear" w:color="auto" w:fill="0B2545"/>
            <w:tcMar>
              <w:top w:w="100" w:type="dxa"/>
              <w:bottom w:w="100" w:type="dxa"/>
              <w:left w:w="100" w:type="dxa"/>
              <w:right w:w="100" w:type="dxa"/>
            </w:tcMar>
          </w:tcPr>
          <w:p>
            <w:pPr>
              <w:jc w:val="left"/>
            </w:pPr>
            <w:r>
              <w:rPr>
                <w:rFonts w:ascii="Calibri" w:hAnsi="Calibri"/>
                <w:b/>
                <w:color w:val="FFFFFF"/>
                <w:sz w:val="20"/>
              </w:rPr>
              <w:t>Revenue (₹)</w:t>
            </w:r>
          </w:p>
        </w:tc>
        <w:tc>
          <w:tcPr>
            <w:tcW w:type="dxa" w:w="1584"/>
            <w:shd w:val="clear" w:color="auto" w:fill="0B2545"/>
            <w:tcMar>
              <w:top w:w="100" w:type="dxa"/>
              <w:bottom w:w="100" w:type="dxa"/>
              <w:left w:w="100" w:type="dxa"/>
              <w:right w:w="100" w:type="dxa"/>
            </w:tcMar>
          </w:tcPr>
          <w:p>
            <w:pPr>
              <w:jc w:val="left"/>
            </w:pPr>
            <w:r>
              <w:rPr>
                <w:rFonts w:ascii="Calibri" w:hAnsi="Calibri"/>
                <w:b/>
                <w:color w:val="FFFFFF"/>
                <w:sz w:val="20"/>
              </w:rPr>
              <w:t>Order Volume</w:t>
            </w:r>
          </w:p>
        </w:tc>
        <w:tc>
          <w:tcPr>
            <w:tcW w:type="dxa" w:w="2016"/>
            <w:shd w:val="clear" w:color="auto" w:fill="0B2545"/>
            <w:tcMar>
              <w:top w:w="100" w:type="dxa"/>
              <w:bottom w:w="100" w:type="dxa"/>
              <w:left w:w="100" w:type="dxa"/>
              <w:right w:w="100" w:type="dxa"/>
            </w:tcMar>
          </w:tcPr>
          <w:p>
            <w:pPr>
              <w:jc w:val="left"/>
            </w:pPr>
            <w:r>
              <w:rPr>
                <w:rFonts w:ascii="Calibri" w:hAnsi="Calibri"/>
                <w:b/>
                <w:color w:val="FFFFFF"/>
                <w:sz w:val="20"/>
              </w:rPr>
              <w:t>Return Profile</w:t>
            </w:r>
          </w:p>
        </w:tc>
        <w:tc>
          <w:tcPr>
            <w:tcW w:type="dxa" w:w="2592"/>
            <w:shd w:val="clear" w:color="auto" w:fill="0B2545"/>
            <w:tcMar>
              <w:top w:w="100" w:type="dxa"/>
              <w:bottom w:w="100" w:type="dxa"/>
              <w:left w:w="100" w:type="dxa"/>
              <w:right w:w="100" w:type="dxa"/>
            </w:tcMar>
          </w:tcPr>
          <w:p>
            <w:pPr>
              <w:jc w:val="left"/>
            </w:pPr>
            <w:r>
              <w:rPr>
                <w:rFonts w:ascii="Calibri" w:hAnsi="Calibri"/>
                <w:b/>
                <w:color w:val="FFFFFF"/>
                <w:sz w:val="20"/>
              </w:rPr>
              <w:t>Strategic Role</w:t>
            </w:r>
          </w:p>
        </w:tc>
      </w:tr>
      <w:tr>
        <w:tc>
          <w:tcPr>
            <w:tcW w:type="dxa" w:w="2160"/>
            <w:shd w:val="clear" w:color="auto" w:fill="EEF4F8"/>
            <w:tcMar>
              <w:top w:w="80" w:type="dxa"/>
              <w:bottom w:w="80" w:type="dxa"/>
              <w:left w:w="100" w:type="dxa"/>
              <w:right w:w="100" w:type="dxa"/>
            </w:tcMar>
          </w:tcPr>
          <w:p>
            <w:pPr>
              <w:jc w:val="left"/>
            </w:pPr>
            <w:r>
              <w:rPr>
                <w:rFonts w:ascii="Calibri" w:hAnsi="Calibri"/>
                <w:b/>
                <w:color w:val="0B2545"/>
                <w:sz w:val="19"/>
              </w:rPr>
              <w:t>Electronics</w:t>
            </w:r>
          </w:p>
        </w:tc>
        <w:tc>
          <w:tcPr>
            <w:tcW w:type="dxa" w:w="1584"/>
            <w:shd w:val="clear" w:color="auto" w:fill="EEF4F8"/>
            <w:tcMar>
              <w:top w:w="80" w:type="dxa"/>
              <w:bottom w:w="80" w:type="dxa"/>
              <w:left w:w="100" w:type="dxa"/>
              <w:right w:w="100" w:type="dxa"/>
            </w:tcMar>
          </w:tcPr>
          <w:p>
            <w:pPr>
              <w:jc w:val="left"/>
            </w:pPr>
            <w:r>
              <w:rPr>
                <w:rFonts w:ascii="Calibri" w:hAnsi="Calibri"/>
                <w:sz w:val="19"/>
              </w:rPr>
              <w:t>₹1.64 Bn</w:t>
            </w:r>
          </w:p>
        </w:tc>
        <w:tc>
          <w:tcPr>
            <w:tcW w:type="dxa" w:w="1584"/>
            <w:shd w:val="clear" w:color="auto" w:fill="EEF4F8"/>
            <w:tcMar>
              <w:top w:w="80" w:type="dxa"/>
              <w:bottom w:w="80" w:type="dxa"/>
              <w:left w:w="100" w:type="dxa"/>
              <w:right w:w="100" w:type="dxa"/>
            </w:tcMar>
          </w:tcPr>
          <w:p>
            <w:pPr>
              <w:jc w:val="left"/>
            </w:pPr>
            <w:r>
              <w:rPr>
                <w:rFonts w:ascii="Calibri" w:hAnsi="Calibri"/>
                <w:sz w:val="19"/>
              </w:rPr>
              <w:t>6,800 orders</w:t>
            </w:r>
          </w:p>
        </w:tc>
        <w:tc>
          <w:tcPr>
            <w:tcW w:type="dxa" w:w="2016"/>
            <w:shd w:val="clear" w:color="auto" w:fill="EEF4F8"/>
            <w:tcMar>
              <w:top w:w="80" w:type="dxa"/>
              <w:bottom w:w="80" w:type="dxa"/>
              <w:left w:w="100" w:type="dxa"/>
              <w:right w:w="100" w:type="dxa"/>
            </w:tcMar>
          </w:tcPr>
          <w:p>
            <w:pPr>
              <w:jc w:val="left"/>
            </w:pPr>
            <w:r>
              <w:rPr>
                <w:rFonts w:ascii="Calibri" w:hAnsi="Calibri"/>
                <w:sz w:val="19"/>
              </w:rPr>
              <w:t>Low / Stable</w:t>
            </w:r>
          </w:p>
        </w:tc>
        <w:tc>
          <w:tcPr>
            <w:tcW w:type="dxa" w:w="2592"/>
            <w:shd w:val="clear" w:color="auto" w:fill="EEF4F8"/>
            <w:tcMar>
              <w:top w:w="80" w:type="dxa"/>
              <w:bottom w:w="80" w:type="dxa"/>
              <w:left w:w="100" w:type="dxa"/>
              <w:right w:w="100" w:type="dxa"/>
            </w:tcMar>
          </w:tcPr>
          <w:p>
            <w:pPr>
              <w:jc w:val="left"/>
            </w:pPr>
            <w:r>
              <w:rPr>
                <w:rFonts w:ascii="Calibri" w:hAnsi="Calibri"/>
                <w:sz w:val="19"/>
              </w:rPr>
              <w:t>Primary GMV &amp; Revenue Engine</w:t>
            </w:r>
          </w:p>
        </w:tc>
      </w:tr>
      <w:tr>
        <w:tc>
          <w:tcPr>
            <w:tcW w:type="dxa" w:w="2160"/>
            <w:shd w:val="clear" w:color="auto" w:fill="FFFFFF"/>
            <w:tcMar>
              <w:top w:w="80" w:type="dxa"/>
              <w:bottom w:w="80" w:type="dxa"/>
              <w:left w:w="100" w:type="dxa"/>
              <w:right w:w="100" w:type="dxa"/>
            </w:tcMar>
          </w:tcPr>
          <w:p>
            <w:pPr>
              <w:jc w:val="left"/>
            </w:pPr>
            <w:r>
              <w:rPr>
                <w:rFonts w:ascii="Calibri" w:hAnsi="Calibri"/>
                <w:b/>
                <w:color w:val="0B2545"/>
                <w:sz w:val="19"/>
              </w:rPr>
              <w:t>Beauty &amp; Health</w:t>
            </w:r>
          </w:p>
        </w:tc>
        <w:tc>
          <w:tcPr>
            <w:tcW w:type="dxa" w:w="1584"/>
            <w:shd w:val="clear" w:color="auto" w:fill="FFFFFF"/>
            <w:tcMar>
              <w:top w:w="80" w:type="dxa"/>
              <w:bottom w:w="80" w:type="dxa"/>
              <w:left w:w="100" w:type="dxa"/>
              <w:right w:w="100" w:type="dxa"/>
            </w:tcMar>
          </w:tcPr>
          <w:p>
            <w:pPr>
              <w:jc w:val="left"/>
            </w:pPr>
            <w:r>
              <w:rPr>
                <w:rFonts w:ascii="Calibri" w:hAnsi="Calibri"/>
                <w:sz w:val="19"/>
              </w:rPr>
              <w:t>₹0.58 Bn</w:t>
            </w:r>
          </w:p>
        </w:tc>
        <w:tc>
          <w:tcPr>
            <w:tcW w:type="dxa" w:w="1584"/>
            <w:shd w:val="clear" w:color="auto" w:fill="FFFFFF"/>
            <w:tcMar>
              <w:top w:w="80" w:type="dxa"/>
              <w:bottom w:w="80" w:type="dxa"/>
              <w:left w:w="100" w:type="dxa"/>
              <w:right w:w="100" w:type="dxa"/>
            </w:tcMar>
          </w:tcPr>
          <w:p>
            <w:pPr>
              <w:jc w:val="left"/>
            </w:pPr>
            <w:r>
              <w:rPr>
                <w:rFonts w:ascii="Calibri" w:hAnsi="Calibri"/>
                <w:sz w:val="19"/>
              </w:rPr>
              <w:t>8,200 orders</w:t>
            </w:r>
          </w:p>
        </w:tc>
        <w:tc>
          <w:tcPr>
            <w:tcW w:type="dxa" w:w="2016"/>
            <w:shd w:val="clear" w:color="auto" w:fill="FFFFFF"/>
            <w:tcMar>
              <w:top w:w="80" w:type="dxa"/>
              <w:bottom w:w="80" w:type="dxa"/>
              <w:left w:w="100" w:type="dxa"/>
              <w:right w:w="100" w:type="dxa"/>
            </w:tcMar>
          </w:tcPr>
          <w:p>
            <w:pPr>
              <w:jc w:val="left"/>
            </w:pPr>
            <w:r>
              <w:rPr>
                <w:rFonts w:ascii="Calibri" w:hAnsi="Calibri"/>
                <w:sz w:val="19"/>
              </w:rPr>
              <w:t>102.10% (Critical)</w:t>
            </w:r>
          </w:p>
        </w:tc>
        <w:tc>
          <w:tcPr>
            <w:tcW w:type="dxa" w:w="2592"/>
            <w:shd w:val="clear" w:color="auto" w:fill="FFFFFF"/>
            <w:tcMar>
              <w:top w:w="80" w:type="dxa"/>
              <w:bottom w:w="80" w:type="dxa"/>
              <w:left w:w="100" w:type="dxa"/>
              <w:right w:w="100" w:type="dxa"/>
            </w:tcMar>
          </w:tcPr>
          <w:p>
            <w:pPr>
              <w:jc w:val="left"/>
            </w:pPr>
            <w:r>
              <w:rPr>
                <w:rFonts w:ascii="Calibri" w:hAnsi="Calibri"/>
                <w:sz w:val="19"/>
              </w:rPr>
              <w:t>High Volume, Urgent Quality Audit</w:t>
            </w:r>
          </w:p>
        </w:tc>
      </w:tr>
      <w:tr>
        <w:tc>
          <w:tcPr>
            <w:tcW w:type="dxa" w:w="2160"/>
            <w:shd w:val="clear" w:color="auto" w:fill="EEF4F8"/>
            <w:tcMar>
              <w:top w:w="80" w:type="dxa"/>
              <w:bottom w:w="80" w:type="dxa"/>
              <w:left w:w="100" w:type="dxa"/>
              <w:right w:w="100" w:type="dxa"/>
            </w:tcMar>
          </w:tcPr>
          <w:p>
            <w:pPr>
              <w:jc w:val="left"/>
            </w:pPr>
            <w:r>
              <w:rPr>
                <w:rFonts w:ascii="Calibri" w:hAnsi="Calibri"/>
                <w:b/>
                <w:color w:val="0B2545"/>
                <w:sz w:val="19"/>
              </w:rPr>
              <w:t>Office Supplies</w:t>
            </w:r>
          </w:p>
        </w:tc>
        <w:tc>
          <w:tcPr>
            <w:tcW w:type="dxa" w:w="1584"/>
            <w:shd w:val="clear" w:color="auto" w:fill="EEF4F8"/>
            <w:tcMar>
              <w:top w:w="80" w:type="dxa"/>
              <w:bottom w:w="80" w:type="dxa"/>
              <w:left w:w="100" w:type="dxa"/>
              <w:right w:w="100" w:type="dxa"/>
            </w:tcMar>
          </w:tcPr>
          <w:p>
            <w:pPr>
              <w:jc w:val="left"/>
            </w:pPr>
            <w:r>
              <w:rPr>
                <w:rFonts w:ascii="Calibri" w:hAnsi="Calibri"/>
                <w:sz w:val="19"/>
              </w:rPr>
              <w:t>₹0.42 Bn</w:t>
            </w:r>
          </w:p>
        </w:tc>
        <w:tc>
          <w:tcPr>
            <w:tcW w:type="dxa" w:w="1584"/>
            <w:shd w:val="clear" w:color="auto" w:fill="EEF4F8"/>
            <w:tcMar>
              <w:top w:w="80" w:type="dxa"/>
              <w:bottom w:w="80" w:type="dxa"/>
              <w:left w:w="100" w:type="dxa"/>
              <w:right w:w="100" w:type="dxa"/>
            </w:tcMar>
          </w:tcPr>
          <w:p>
            <w:pPr>
              <w:jc w:val="left"/>
            </w:pPr>
            <w:r>
              <w:rPr>
                <w:rFonts w:ascii="Calibri" w:hAnsi="Calibri"/>
                <w:sz w:val="19"/>
              </w:rPr>
              <w:t>10,152 orders</w:t>
            </w:r>
          </w:p>
        </w:tc>
        <w:tc>
          <w:tcPr>
            <w:tcW w:type="dxa" w:w="2016"/>
            <w:shd w:val="clear" w:color="auto" w:fill="EEF4F8"/>
            <w:tcMar>
              <w:top w:w="80" w:type="dxa"/>
              <w:bottom w:w="80" w:type="dxa"/>
              <w:left w:w="100" w:type="dxa"/>
              <w:right w:w="100" w:type="dxa"/>
            </w:tcMar>
          </w:tcPr>
          <w:p>
            <w:pPr>
              <w:jc w:val="left"/>
            </w:pPr>
            <w:r>
              <w:rPr>
                <w:rFonts w:ascii="Calibri" w:hAnsi="Calibri"/>
                <w:sz w:val="19"/>
              </w:rPr>
              <w:t>Moderate</w:t>
            </w:r>
          </w:p>
        </w:tc>
        <w:tc>
          <w:tcPr>
            <w:tcW w:type="dxa" w:w="2592"/>
            <w:shd w:val="clear" w:color="auto" w:fill="EEF4F8"/>
            <w:tcMar>
              <w:top w:w="80" w:type="dxa"/>
              <w:bottom w:w="80" w:type="dxa"/>
              <w:left w:w="100" w:type="dxa"/>
              <w:right w:w="100" w:type="dxa"/>
            </w:tcMar>
          </w:tcPr>
          <w:p>
            <w:pPr>
              <w:jc w:val="left"/>
            </w:pPr>
            <w:r>
              <w:rPr>
                <w:rFonts w:ascii="Calibri" w:hAnsi="Calibri"/>
                <w:sz w:val="19"/>
              </w:rPr>
              <w:t>Volume Leader &amp; B2B Customer Anchor</w:t>
            </w:r>
          </w:p>
        </w:tc>
      </w:tr>
      <w:tr>
        <w:tc>
          <w:tcPr>
            <w:tcW w:type="dxa" w:w="2160"/>
            <w:shd w:val="clear" w:color="auto" w:fill="FFFFFF"/>
            <w:tcMar>
              <w:top w:w="80" w:type="dxa"/>
              <w:bottom w:w="80" w:type="dxa"/>
              <w:left w:w="100" w:type="dxa"/>
              <w:right w:w="100" w:type="dxa"/>
            </w:tcMar>
          </w:tcPr>
          <w:p>
            <w:pPr>
              <w:jc w:val="left"/>
            </w:pPr>
            <w:r>
              <w:rPr>
                <w:rFonts w:ascii="Calibri" w:hAnsi="Calibri"/>
                <w:b/>
                <w:color w:val="0B2545"/>
                <w:sz w:val="19"/>
              </w:rPr>
              <w:t>Automotive</w:t>
            </w:r>
          </w:p>
        </w:tc>
        <w:tc>
          <w:tcPr>
            <w:tcW w:type="dxa" w:w="1584"/>
            <w:shd w:val="clear" w:color="auto" w:fill="FFFFFF"/>
            <w:tcMar>
              <w:top w:w="80" w:type="dxa"/>
              <w:bottom w:w="80" w:type="dxa"/>
              <w:left w:w="100" w:type="dxa"/>
              <w:right w:w="100" w:type="dxa"/>
            </w:tcMar>
          </w:tcPr>
          <w:p>
            <w:pPr>
              <w:jc w:val="left"/>
            </w:pPr>
            <w:r>
              <w:rPr>
                <w:rFonts w:ascii="Calibri" w:hAnsi="Calibri"/>
                <w:sz w:val="19"/>
              </w:rPr>
              <w:t>₹0.28 Bn</w:t>
            </w:r>
          </w:p>
        </w:tc>
        <w:tc>
          <w:tcPr>
            <w:tcW w:type="dxa" w:w="1584"/>
            <w:shd w:val="clear" w:color="auto" w:fill="FFFFFF"/>
            <w:tcMar>
              <w:top w:w="80" w:type="dxa"/>
              <w:bottom w:w="80" w:type="dxa"/>
              <w:left w:w="100" w:type="dxa"/>
              <w:right w:w="100" w:type="dxa"/>
            </w:tcMar>
          </w:tcPr>
          <w:p>
            <w:pPr>
              <w:jc w:val="left"/>
            </w:pPr>
            <w:r>
              <w:rPr>
                <w:rFonts w:ascii="Calibri" w:hAnsi="Calibri"/>
                <w:sz w:val="19"/>
              </w:rPr>
              <w:t>4,100 orders</w:t>
            </w:r>
          </w:p>
        </w:tc>
        <w:tc>
          <w:tcPr>
            <w:tcW w:type="dxa" w:w="2016"/>
            <w:shd w:val="clear" w:color="auto" w:fill="FFFFFF"/>
            <w:tcMar>
              <w:top w:w="80" w:type="dxa"/>
              <w:bottom w:w="80" w:type="dxa"/>
              <w:left w:w="100" w:type="dxa"/>
              <w:right w:w="100" w:type="dxa"/>
            </w:tcMar>
          </w:tcPr>
          <w:p>
            <w:pPr>
              <w:jc w:val="left"/>
            </w:pPr>
            <w:r>
              <w:rPr>
                <w:rFonts w:ascii="Calibri" w:hAnsi="Calibri"/>
                <w:sz w:val="19"/>
              </w:rPr>
              <w:t>Low</w:t>
            </w:r>
          </w:p>
        </w:tc>
        <w:tc>
          <w:tcPr>
            <w:tcW w:type="dxa" w:w="2592"/>
            <w:shd w:val="clear" w:color="auto" w:fill="FFFFFF"/>
            <w:tcMar>
              <w:top w:w="80" w:type="dxa"/>
              <w:bottom w:w="80" w:type="dxa"/>
              <w:left w:w="100" w:type="dxa"/>
              <w:right w:w="100" w:type="dxa"/>
            </w:tcMar>
          </w:tcPr>
          <w:p>
            <w:pPr>
              <w:jc w:val="left"/>
            </w:pPr>
            <w:r>
              <w:rPr>
                <w:rFonts w:ascii="Calibri" w:hAnsi="Calibri"/>
                <w:sz w:val="19"/>
              </w:rPr>
              <w:t>Highest Profit Yield per Transaction</w:t>
            </w:r>
          </w:p>
        </w:tc>
      </w:tr>
      <w:tr>
        <w:tc>
          <w:tcPr>
            <w:tcW w:type="dxa" w:w="2160"/>
            <w:shd w:val="clear" w:color="auto" w:fill="EEF4F8"/>
            <w:tcMar>
              <w:top w:w="80" w:type="dxa"/>
              <w:bottom w:w="80" w:type="dxa"/>
              <w:left w:w="100" w:type="dxa"/>
              <w:right w:w="100" w:type="dxa"/>
            </w:tcMar>
          </w:tcPr>
          <w:p>
            <w:pPr>
              <w:jc w:val="left"/>
            </w:pPr>
            <w:r>
              <w:rPr>
                <w:rFonts w:ascii="Calibri" w:hAnsi="Calibri"/>
                <w:b/>
                <w:color w:val="0B2545"/>
                <w:sz w:val="19"/>
              </w:rPr>
              <w:t>Home &amp; Kitchen</w:t>
            </w:r>
          </w:p>
        </w:tc>
        <w:tc>
          <w:tcPr>
            <w:tcW w:type="dxa" w:w="1584"/>
            <w:shd w:val="clear" w:color="auto" w:fill="EEF4F8"/>
            <w:tcMar>
              <w:top w:w="80" w:type="dxa"/>
              <w:bottom w:w="80" w:type="dxa"/>
              <w:left w:w="100" w:type="dxa"/>
              <w:right w:w="100" w:type="dxa"/>
            </w:tcMar>
          </w:tcPr>
          <w:p>
            <w:pPr>
              <w:jc w:val="left"/>
            </w:pPr>
            <w:r>
              <w:rPr>
                <w:rFonts w:ascii="Calibri" w:hAnsi="Calibri"/>
                <w:sz w:val="19"/>
              </w:rPr>
              <w:t>₹0.15 Bn</w:t>
            </w:r>
          </w:p>
        </w:tc>
        <w:tc>
          <w:tcPr>
            <w:tcW w:type="dxa" w:w="1584"/>
            <w:shd w:val="clear" w:color="auto" w:fill="EEF4F8"/>
            <w:tcMar>
              <w:top w:w="80" w:type="dxa"/>
              <w:bottom w:w="80" w:type="dxa"/>
              <w:left w:w="100" w:type="dxa"/>
              <w:right w:w="100" w:type="dxa"/>
            </w:tcMar>
          </w:tcPr>
          <w:p>
            <w:pPr>
              <w:jc w:val="left"/>
            </w:pPr>
            <w:r>
              <w:rPr>
                <w:rFonts w:ascii="Calibri" w:hAnsi="Calibri"/>
                <w:sz w:val="19"/>
              </w:rPr>
              <w:t>2,900 orders</w:t>
            </w:r>
          </w:p>
        </w:tc>
        <w:tc>
          <w:tcPr>
            <w:tcW w:type="dxa" w:w="2016"/>
            <w:shd w:val="clear" w:color="auto" w:fill="EEF4F8"/>
            <w:tcMar>
              <w:top w:w="80" w:type="dxa"/>
              <w:bottom w:w="80" w:type="dxa"/>
              <w:left w:w="100" w:type="dxa"/>
              <w:right w:w="100" w:type="dxa"/>
            </w:tcMar>
          </w:tcPr>
          <w:p>
            <w:pPr>
              <w:jc w:val="left"/>
            </w:pPr>
            <w:r>
              <w:rPr>
                <w:rFonts w:ascii="Calibri" w:hAnsi="Calibri"/>
                <w:sz w:val="19"/>
              </w:rPr>
              <w:t>Moderate</w:t>
            </w:r>
          </w:p>
        </w:tc>
        <w:tc>
          <w:tcPr>
            <w:tcW w:type="dxa" w:w="2592"/>
            <w:shd w:val="clear" w:color="auto" w:fill="EEF4F8"/>
            <w:tcMar>
              <w:top w:w="80" w:type="dxa"/>
              <w:bottom w:w="80" w:type="dxa"/>
              <w:left w:w="100" w:type="dxa"/>
              <w:right w:w="100" w:type="dxa"/>
            </w:tcMar>
          </w:tcPr>
          <w:p>
            <w:pPr>
              <w:jc w:val="left"/>
            </w:pPr>
            <w:r>
              <w:rPr>
                <w:rFonts w:ascii="Calibri" w:hAnsi="Calibri"/>
                <w:sz w:val="19"/>
              </w:rPr>
              <w:t>Steady Margin Steady Performer</w:t>
            </w:r>
          </w:p>
        </w:tc>
      </w:tr>
      <w:tr>
        <w:tc>
          <w:tcPr>
            <w:tcW w:type="dxa" w:w="2160"/>
            <w:shd w:val="clear" w:color="auto" w:fill="FFFFFF"/>
            <w:tcMar>
              <w:top w:w="80" w:type="dxa"/>
              <w:bottom w:w="80" w:type="dxa"/>
              <w:left w:w="100" w:type="dxa"/>
              <w:right w:w="100" w:type="dxa"/>
            </w:tcMar>
          </w:tcPr>
          <w:p>
            <w:pPr>
              <w:jc w:val="left"/>
            </w:pPr>
            <w:r>
              <w:rPr>
                <w:rFonts w:ascii="Calibri" w:hAnsi="Calibri"/>
                <w:b/>
                <w:color w:val="0B2545"/>
                <w:sz w:val="19"/>
              </w:rPr>
              <w:t>Fashion</w:t>
            </w:r>
          </w:p>
        </w:tc>
        <w:tc>
          <w:tcPr>
            <w:tcW w:type="dxa" w:w="1584"/>
            <w:shd w:val="clear" w:color="auto" w:fill="FFFFFF"/>
            <w:tcMar>
              <w:top w:w="80" w:type="dxa"/>
              <w:bottom w:w="80" w:type="dxa"/>
              <w:left w:w="100" w:type="dxa"/>
              <w:right w:w="100" w:type="dxa"/>
            </w:tcMar>
          </w:tcPr>
          <w:p>
            <w:pPr>
              <w:jc w:val="left"/>
            </w:pPr>
            <w:r>
              <w:rPr>
                <w:rFonts w:ascii="Calibri" w:hAnsi="Calibri"/>
                <w:sz w:val="19"/>
              </w:rPr>
              <w:t>₹0.08 Bn</w:t>
            </w:r>
          </w:p>
        </w:tc>
        <w:tc>
          <w:tcPr>
            <w:tcW w:type="dxa" w:w="1584"/>
            <w:shd w:val="clear" w:color="auto" w:fill="FFFFFF"/>
            <w:tcMar>
              <w:top w:w="80" w:type="dxa"/>
              <w:bottom w:w="80" w:type="dxa"/>
              <w:left w:w="100" w:type="dxa"/>
              <w:right w:w="100" w:type="dxa"/>
            </w:tcMar>
          </w:tcPr>
          <w:p>
            <w:pPr>
              <w:jc w:val="left"/>
            </w:pPr>
            <w:r>
              <w:rPr>
                <w:rFonts w:ascii="Calibri" w:hAnsi="Calibri"/>
                <w:sz w:val="19"/>
              </w:rPr>
              <w:t>1,800 orders</w:t>
            </w:r>
          </w:p>
        </w:tc>
        <w:tc>
          <w:tcPr>
            <w:tcW w:type="dxa" w:w="2016"/>
            <w:shd w:val="clear" w:color="auto" w:fill="FFFFFF"/>
            <w:tcMar>
              <w:top w:w="80" w:type="dxa"/>
              <w:bottom w:w="80" w:type="dxa"/>
              <w:left w:w="100" w:type="dxa"/>
              <w:right w:w="100" w:type="dxa"/>
            </w:tcMar>
          </w:tcPr>
          <w:p>
            <w:pPr>
              <w:jc w:val="left"/>
            </w:pPr>
            <w:r>
              <w:rPr>
                <w:rFonts w:ascii="Calibri" w:hAnsi="Calibri"/>
                <w:sz w:val="19"/>
              </w:rPr>
              <w:t>High (Size Mismatch)</w:t>
            </w:r>
          </w:p>
        </w:tc>
        <w:tc>
          <w:tcPr>
            <w:tcW w:type="dxa" w:w="2592"/>
            <w:shd w:val="clear" w:color="auto" w:fill="FFFFFF"/>
            <w:tcMar>
              <w:top w:w="80" w:type="dxa"/>
              <w:bottom w:w="80" w:type="dxa"/>
              <w:left w:w="100" w:type="dxa"/>
              <w:right w:w="100" w:type="dxa"/>
            </w:tcMar>
          </w:tcPr>
          <w:p>
            <w:pPr>
              <w:jc w:val="left"/>
            </w:pPr>
            <w:r>
              <w:rPr>
                <w:rFonts w:ascii="Calibri" w:hAnsi="Calibri"/>
                <w:sz w:val="19"/>
              </w:rPr>
              <w:t>High Return Risk, Needs Size Chart Revamp</w:t>
            </w:r>
          </w:p>
        </w:tc>
      </w:tr>
    </w:tbl>
    <w:p>
      <w:pPr>
        <w:spacing w:after="280"/>
      </w:pPr>
    </w:p>
    <w:p>
      <w:pPr>
        <w:keepNext/>
        <w:spacing w:before="360" w:after="120"/>
      </w:pPr>
      <w:r>
        <w:rPr>
          <w:rFonts w:ascii="Calibri" w:hAnsi="Calibri"/>
          <w:b/>
          <w:color w:val="0B2545"/>
          <w:sz w:val="32"/>
        </w:rPr>
        <w:t>3. Operational Risks &amp; Leakage Identification</w:t>
      </w:r>
    </w:p>
    <w:p>
      <w:pPr>
        <w:spacing w:after="120"/>
        <w:ind w:left="288"/>
      </w:pPr>
      <w:r>
        <w:rPr>
          <w:b/>
          <w:color w:val="D9534F"/>
        </w:rPr>
        <w:t xml:space="preserve">⚠ </w:t>
      </w:r>
      <w:r>
        <w:rPr>
          <w:rFonts w:ascii="Calibri" w:hAnsi="Calibri"/>
          <w:b/>
          <w:color w:val="0B2545"/>
          <w:sz w:val="22"/>
        </w:rPr>
        <w:t xml:space="preserve">Revenue Erosion via Cancellations &amp; Returns: </w:t>
      </w:r>
      <w:r>
        <w:rPr>
          <w:rFonts w:ascii="Calibri" w:hAnsi="Calibri"/>
          <w:sz w:val="21"/>
        </w:rPr>
        <w:t>With 11.99% cancellations (~6,000 orders) and 7.87% returns (~4,000 orders), IndiaKart suffers severe margin compression from reverse logistics, restocking fees, and merchant payment processing costs.</w:t>
      </w:r>
    </w:p>
    <w:p>
      <w:pPr>
        <w:spacing w:after="120"/>
        <w:ind w:left="288"/>
      </w:pPr>
      <w:r>
        <w:rPr>
          <w:b/>
          <w:color w:val="D9534F"/>
        </w:rPr>
        <w:t xml:space="preserve">⚠ </w:t>
      </w:r>
      <w:r>
        <w:rPr>
          <w:rFonts w:ascii="Calibri" w:hAnsi="Calibri"/>
          <w:b/>
          <w:color w:val="0B2545"/>
          <w:sz w:val="22"/>
        </w:rPr>
        <w:t xml:space="preserve">Beauty &amp; Health Quality Anomaly: </w:t>
      </w:r>
      <w:r>
        <w:rPr>
          <w:rFonts w:ascii="Calibri" w:hAnsi="Calibri"/>
          <w:sz w:val="21"/>
        </w:rPr>
        <w:t>A 102.10% return rate indicates widespread product defect issues, expired stock dispatch, or mismatched product images/shade descriptions that breach customer trust.</w:t>
      </w:r>
    </w:p>
    <w:p>
      <w:pPr>
        <w:spacing w:after="120"/>
        <w:ind w:left="288"/>
      </w:pPr>
      <w:r>
        <w:rPr>
          <w:b/>
          <w:color w:val="D9534F"/>
        </w:rPr>
        <w:t xml:space="preserve">⚠ </w:t>
      </w:r>
      <w:r>
        <w:rPr>
          <w:rFonts w:ascii="Calibri" w:hAnsi="Calibri"/>
          <w:b/>
          <w:color w:val="0B2545"/>
          <w:sz w:val="22"/>
        </w:rPr>
        <w:t xml:space="preserve">Transit Damage &amp; Logistics Fragility: </w:t>
      </w:r>
      <w:r>
        <w:rPr>
          <w:rFonts w:ascii="Calibri" w:hAnsi="Calibri"/>
          <w:sz w:val="21"/>
        </w:rPr>
        <w:t>21% of returns stem directly from transit damage, highlighting packaging deficiencies in fragile product shipments across regional courier networks.</w:t>
      </w:r>
    </w:p>
    <w:p>
      <w:pPr>
        <w:spacing w:after="120"/>
        <w:ind w:left="288"/>
      </w:pPr>
      <w:r>
        <w:rPr>
          <w:b/>
          <w:color w:val="D9534F"/>
        </w:rPr>
        <w:t xml:space="preserve">⚠ </w:t>
      </w:r>
      <w:r>
        <w:rPr>
          <w:rFonts w:ascii="Calibri" w:hAnsi="Calibri"/>
          <w:b/>
          <w:color w:val="0B2545"/>
          <w:sz w:val="22"/>
        </w:rPr>
        <w:t xml:space="preserve">Payment Channel Disparity: </w:t>
      </w:r>
      <w:r>
        <w:rPr>
          <w:rFonts w:ascii="Calibri" w:hAnsi="Calibri"/>
          <w:sz w:val="21"/>
        </w:rPr>
        <w:t>UPI and Digital Cards account for 88.20% of GMV while Cash on Delivery (COD) represents 11.80%. COD orders exhibit a 2.4x higher refusal rate at doorstep delivery.</w:t>
      </w:r>
    </w:p>
    <w:p>
      <w:pPr>
        <w:spacing w:before="160" w:after="80"/>
        <w:jc w:val="center"/>
      </w:pPr>
      <w:r>
        <w:drawing>
          <wp:inline xmlns:a="http://schemas.openxmlformats.org/drawingml/2006/main" xmlns:pic="http://schemas.openxmlformats.org/drawingml/2006/picture">
            <wp:extent cx="5669280" cy="2440973"/>
            <wp:docPr id="2" name="Picture 2"/>
            <wp:cNvGraphicFramePr>
              <a:graphicFrameLocks noChangeAspect="1"/>
            </wp:cNvGraphicFramePr>
            <a:graphic>
              <a:graphicData uri="http://schemas.openxmlformats.org/drawingml/2006/picture">
                <pic:pic>
                  <pic:nvPicPr>
                    <pic:cNvPr id="0" name="returns_chart.png"/>
                    <pic:cNvPicPr/>
                  </pic:nvPicPr>
                  <pic:blipFill>
                    <a:blip r:embed="rId10"/>
                    <a:stretch>
                      <a:fillRect/>
                    </a:stretch>
                  </pic:blipFill>
                  <pic:spPr>
                    <a:xfrm>
                      <a:off x="0" y="0"/>
                      <a:ext cx="5669280" cy="2440973"/>
                    </a:xfrm>
                    <a:prstGeom prst="rect"/>
                  </pic:spPr>
                </pic:pic>
              </a:graphicData>
            </a:graphic>
          </wp:inline>
        </w:drawing>
      </w:r>
    </w:p>
    <w:p>
      <w:pPr>
        <w:spacing w:after="280"/>
        <w:jc w:val="center"/>
      </w:pPr>
      <w:r>
        <w:rPr>
          <w:rFonts w:ascii="Calibri" w:hAnsi="Calibri"/>
          <w:i/>
          <w:color w:val="64748B"/>
          <w:sz w:val="18"/>
        </w:rPr>
        <w:t>Figure 2: Customer Return Reason Distribution (%)</w:t>
      </w:r>
    </w:p>
    <w:p>
      <w:pPr>
        <w:keepNext/>
        <w:spacing w:before="360" w:after="120"/>
      </w:pPr>
      <w:r>
        <w:rPr>
          <w:rFonts w:ascii="Calibri" w:hAnsi="Calibri"/>
          <w:b/>
          <w:color w:val="0B2545"/>
          <w:sz w:val="32"/>
        </w:rPr>
        <w:t>4. Warehouse Allocation &amp; Growth Opportunities</w:t>
      </w:r>
    </w:p>
    <w:p>
      <w:pPr>
        <w:spacing w:after="160" w:line="276" w:lineRule="auto"/>
      </w:pPr>
      <w:r>
        <w:rPr>
          <w:rFonts w:ascii="Calibri" w:hAnsi="Calibri"/>
          <w:sz w:val="22"/>
        </w:rPr>
        <w:t xml:space="preserve">IndiaKart holds </w:t>
      </w:r>
      <w:r>
        <w:rPr>
          <w:rFonts w:ascii="Calibri" w:hAnsi="Calibri"/>
          <w:b/>
          <w:sz w:val="22"/>
        </w:rPr>
        <w:t>247,000 units in stock across six facilities</w:t>
      </w:r>
      <w:r>
        <w:rPr>
          <w:rFonts w:ascii="Calibri" w:hAnsi="Calibri"/>
          <w:sz w:val="22"/>
        </w:rPr>
        <w:t xml:space="preserve">. However, inventory holding is poorly aligned with regional order velocity. </w:t>
      </w:r>
      <w:r>
        <w:rPr>
          <w:rFonts w:ascii="Calibri" w:hAnsi="Calibri"/>
          <w:b/>
          <w:sz w:val="22"/>
        </w:rPr>
        <w:t>Chennai-WH5 holds 49,000 units (19.8% share)</w:t>
      </w:r>
      <w:r>
        <w:rPr>
          <w:rFonts w:ascii="Calibri" w:hAnsi="Calibri"/>
          <w:sz w:val="22"/>
        </w:rPr>
        <w:t xml:space="preserve"> creating heavy holding costs, whereas </w:t>
      </w:r>
      <w:r>
        <w:rPr>
          <w:rFonts w:ascii="Calibri" w:hAnsi="Calibri"/>
          <w:b/>
          <w:sz w:val="22"/>
        </w:rPr>
        <w:t>Mumbai-WH1 holds only 33,000 units (13.4% share)</w:t>
      </w:r>
      <w:r>
        <w:rPr>
          <w:rFonts w:ascii="Calibri" w:hAnsi="Calibri"/>
          <w:sz w:val="22"/>
        </w:rPr>
        <w:t xml:space="preserve"> despite Maharashtra being a top revenue generator.</w:t>
      </w:r>
    </w:p>
    <w:p>
      <w:pPr>
        <w:spacing w:before="160" w:after="80"/>
        <w:jc w:val="center"/>
      </w:pPr>
      <w:r>
        <w:drawing>
          <wp:inline xmlns:a="http://schemas.openxmlformats.org/drawingml/2006/main" xmlns:pic="http://schemas.openxmlformats.org/drawingml/2006/picture">
            <wp:extent cx="5669280" cy="2655232"/>
            <wp:docPr id="3" name="Picture 3"/>
            <wp:cNvGraphicFramePr>
              <a:graphicFrameLocks noChangeAspect="1"/>
            </wp:cNvGraphicFramePr>
            <a:graphic>
              <a:graphicData uri="http://schemas.openxmlformats.org/drawingml/2006/picture">
                <pic:pic>
                  <pic:nvPicPr>
                    <pic:cNvPr id="0" name="warehouse_chart.png"/>
                    <pic:cNvPicPr/>
                  </pic:nvPicPr>
                  <pic:blipFill>
                    <a:blip r:embed="rId11"/>
                    <a:stretch>
                      <a:fillRect/>
                    </a:stretch>
                  </pic:blipFill>
                  <pic:spPr>
                    <a:xfrm>
                      <a:off x="0" y="0"/>
                      <a:ext cx="5669280" cy="2655232"/>
                    </a:xfrm>
                    <a:prstGeom prst="rect"/>
                  </pic:spPr>
                </pic:pic>
              </a:graphicData>
            </a:graphic>
          </wp:inline>
        </w:drawing>
      </w:r>
    </w:p>
    <w:p>
      <w:pPr>
        <w:spacing w:after="240"/>
        <w:jc w:val="center"/>
      </w:pPr>
      <w:r>
        <w:rPr>
          <w:rFonts w:ascii="Calibri" w:hAnsi="Calibri"/>
          <w:i/>
          <w:color w:val="64748B"/>
          <w:sz w:val="18"/>
        </w:rPr>
        <w:t>Figure 3: Stock Holding vs Average Capacity Across Regional Warehouses (k Units)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304"/>
            <w:shd w:val="clear" w:color="auto" w:fill="0B2545"/>
            <w:tcMar>
              <w:top w:w="100" w:type="dxa"/>
              <w:bottom w:w="100" w:type="dxa"/>
              <w:left w:w="100" w:type="dxa"/>
              <w:right w:w="100" w:type="dxa"/>
            </w:tcMar>
          </w:tcPr>
          <w:p>
            <w:pPr>
              <w:jc w:val="left"/>
            </w:pPr>
            <w:r>
              <w:rPr>
                <w:rFonts w:ascii="Calibri" w:hAnsi="Calibri"/>
                <w:b/>
                <w:color w:val="FFFFFF"/>
                <w:sz w:val="20"/>
              </w:rPr>
              <w:t>Warehouse Location</w:t>
            </w:r>
          </w:p>
        </w:tc>
        <w:tc>
          <w:tcPr>
            <w:tcW w:type="dxa" w:w="1440"/>
            <w:shd w:val="clear" w:color="auto" w:fill="0B2545"/>
            <w:tcMar>
              <w:top w:w="100" w:type="dxa"/>
              <w:bottom w:w="100" w:type="dxa"/>
              <w:left w:w="100" w:type="dxa"/>
              <w:right w:w="100" w:type="dxa"/>
            </w:tcMar>
          </w:tcPr>
          <w:p>
            <w:pPr>
              <w:jc w:val="left"/>
            </w:pPr>
            <w:r>
              <w:rPr>
                <w:rFonts w:ascii="Calibri" w:hAnsi="Calibri"/>
                <w:b/>
                <w:color w:val="FFFFFF"/>
                <w:sz w:val="20"/>
              </w:rPr>
              <w:t>Stock Held</w:t>
            </w:r>
          </w:p>
        </w:tc>
        <w:tc>
          <w:tcPr>
            <w:tcW w:type="dxa" w:w="1296"/>
            <w:shd w:val="clear" w:color="auto" w:fill="0B2545"/>
            <w:tcMar>
              <w:top w:w="100" w:type="dxa"/>
              <w:bottom w:w="100" w:type="dxa"/>
              <w:left w:w="100" w:type="dxa"/>
              <w:right w:w="100" w:type="dxa"/>
            </w:tcMar>
          </w:tcPr>
          <w:p>
            <w:pPr>
              <w:jc w:val="left"/>
            </w:pPr>
            <w:r>
              <w:rPr>
                <w:rFonts w:ascii="Calibri" w:hAnsi="Calibri"/>
                <w:b/>
                <w:color w:val="FFFFFF"/>
                <w:sz w:val="20"/>
              </w:rPr>
              <w:t>% Share</w:t>
            </w:r>
          </w:p>
        </w:tc>
        <w:tc>
          <w:tcPr>
            <w:tcW w:type="dxa" w:w="2160"/>
            <w:shd w:val="clear" w:color="auto" w:fill="0B2545"/>
            <w:tcMar>
              <w:top w:w="100" w:type="dxa"/>
              <w:bottom w:w="100" w:type="dxa"/>
              <w:left w:w="100" w:type="dxa"/>
              <w:right w:w="100" w:type="dxa"/>
            </w:tcMar>
          </w:tcPr>
          <w:p>
            <w:pPr>
              <w:jc w:val="left"/>
            </w:pPr>
            <w:r>
              <w:rPr>
                <w:rFonts w:ascii="Calibri" w:hAnsi="Calibri"/>
                <w:b/>
                <w:color w:val="FFFFFF"/>
                <w:sz w:val="20"/>
              </w:rPr>
              <w:t>Operational Status</w:t>
            </w:r>
          </w:p>
        </w:tc>
        <w:tc>
          <w:tcPr>
            <w:tcW w:type="dxa" w:w="2736"/>
            <w:shd w:val="clear" w:color="auto" w:fill="0B2545"/>
            <w:tcMar>
              <w:top w:w="100" w:type="dxa"/>
              <w:bottom w:w="100" w:type="dxa"/>
              <w:left w:w="100" w:type="dxa"/>
              <w:right w:w="100" w:type="dxa"/>
            </w:tcMar>
          </w:tcPr>
          <w:p>
            <w:pPr>
              <w:jc w:val="left"/>
            </w:pPr>
            <w:r>
              <w:rPr>
                <w:rFonts w:ascii="Calibri" w:hAnsi="Calibri"/>
                <w:b/>
                <w:color w:val="FFFFFF"/>
                <w:sz w:val="20"/>
              </w:rPr>
              <w:t>Recommended Action</w:t>
            </w:r>
          </w:p>
        </w:tc>
      </w:tr>
      <w:tr>
        <w:tc>
          <w:tcPr>
            <w:tcW w:type="dxa" w:w="2304"/>
            <w:shd w:val="clear" w:color="auto" w:fill="EEF4F8"/>
            <w:tcMar>
              <w:top w:w="80" w:type="dxa"/>
              <w:bottom w:w="80" w:type="dxa"/>
              <w:left w:w="100" w:type="dxa"/>
              <w:right w:w="100" w:type="dxa"/>
            </w:tcMar>
          </w:tcPr>
          <w:p>
            <w:pPr>
              <w:jc w:val="left"/>
            </w:pPr>
            <w:r>
              <w:rPr>
                <w:rFonts w:ascii="Calibri" w:hAnsi="Calibri"/>
                <w:b/>
                <w:color w:val="0B2545"/>
                <w:sz w:val="19"/>
              </w:rPr>
              <w:t>Chennai (WH5)</w:t>
            </w:r>
          </w:p>
        </w:tc>
        <w:tc>
          <w:tcPr>
            <w:tcW w:type="dxa" w:w="1440"/>
            <w:shd w:val="clear" w:color="auto" w:fill="EEF4F8"/>
            <w:tcMar>
              <w:top w:w="80" w:type="dxa"/>
              <w:bottom w:w="80" w:type="dxa"/>
              <w:left w:w="100" w:type="dxa"/>
              <w:right w:w="100" w:type="dxa"/>
            </w:tcMar>
          </w:tcPr>
          <w:p>
            <w:pPr>
              <w:jc w:val="left"/>
            </w:pPr>
            <w:r>
              <w:rPr>
                <w:rFonts w:ascii="Calibri" w:hAnsi="Calibri"/>
                <w:sz w:val="19"/>
              </w:rPr>
              <w:t>49,000 units</w:t>
            </w:r>
          </w:p>
        </w:tc>
        <w:tc>
          <w:tcPr>
            <w:tcW w:type="dxa" w:w="1296"/>
            <w:shd w:val="clear" w:color="auto" w:fill="EEF4F8"/>
            <w:tcMar>
              <w:top w:w="80" w:type="dxa"/>
              <w:bottom w:w="80" w:type="dxa"/>
              <w:left w:w="100" w:type="dxa"/>
              <w:right w:w="100" w:type="dxa"/>
            </w:tcMar>
          </w:tcPr>
          <w:p>
            <w:pPr>
              <w:jc w:val="left"/>
            </w:pPr>
            <w:r>
              <w:rPr>
                <w:rFonts w:ascii="Calibri" w:hAnsi="Calibri"/>
                <w:sz w:val="19"/>
              </w:rPr>
              <w:t>19.8%</w:t>
            </w:r>
          </w:p>
        </w:tc>
        <w:tc>
          <w:tcPr>
            <w:tcW w:type="dxa" w:w="2160"/>
            <w:shd w:val="clear" w:color="auto" w:fill="EEF4F8"/>
            <w:tcMar>
              <w:top w:w="80" w:type="dxa"/>
              <w:bottom w:w="80" w:type="dxa"/>
              <w:left w:w="100" w:type="dxa"/>
              <w:right w:w="100" w:type="dxa"/>
            </w:tcMar>
          </w:tcPr>
          <w:p>
            <w:pPr>
              <w:jc w:val="left"/>
            </w:pPr>
            <w:r>
              <w:rPr>
                <w:rFonts w:ascii="Calibri" w:hAnsi="Calibri"/>
                <w:sz w:val="19"/>
              </w:rPr>
              <w:t>Overstocked (+7.8k vs avg)</w:t>
            </w:r>
          </w:p>
        </w:tc>
        <w:tc>
          <w:tcPr>
            <w:tcW w:type="dxa" w:w="2736"/>
            <w:shd w:val="clear" w:color="auto" w:fill="EEF4F8"/>
            <w:tcMar>
              <w:top w:w="80" w:type="dxa"/>
              <w:bottom w:w="80" w:type="dxa"/>
              <w:left w:w="100" w:type="dxa"/>
              <w:right w:w="100" w:type="dxa"/>
            </w:tcMar>
          </w:tcPr>
          <w:p>
            <w:pPr>
              <w:jc w:val="left"/>
            </w:pPr>
            <w:r>
              <w:rPr>
                <w:rFonts w:ascii="Calibri" w:hAnsi="Calibri"/>
                <w:sz w:val="19"/>
              </w:rPr>
              <w:t>Transfer 8,000 units to Mumbai &amp; Bengaluru</w:t>
            </w:r>
          </w:p>
        </w:tc>
      </w:tr>
      <w:tr>
        <w:tc>
          <w:tcPr>
            <w:tcW w:type="dxa" w:w="2304"/>
            <w:shd w:val="clear" w:color="auto" w:fill="FFFFFF"/>
            <w:tcMar>
              <w:top w:w="80" w:type="dxa"/>
              <w:bottom w:w="80" w:type="dxa"/>
              <w:left w:w="100" w:type="dxa"/>
              <w:right w:w="100" w:type="dxa"/>
            </w:tcMar>
          </w:tcPr>
          <w:p>
            <w:pPr>
              <w:jc w:val="left"/>
            </w:pPr>
            <w:r>
              <w:rPr>
                <w:rFonts w:ascii="Calibri" w:hAnsi="Calibri"/>
                <w:b/>
                <w:color w:val="0B2545"/>
                <w:sz w:val="19"/>
              </w:rPr>
              <w:t>Delhi (WH2)</w:t>
            </w:r>
          </w:p>
        </w:tc>
        <w:tc>
          <w:tcPr>
            <w:tcW w:type="dxa" w:w="1440"/>
            <w:shd w:val="clear" w:color="auto" w:fill="FFFFFF"/>
            <w:tcMar>
              <w:top w:w="80" w:type="dxa"/>
              <w:bottom w:w="80" w:type="dxa"/>
              <w:left w:w="100" w:type="dxa"/>
              <w:right w:w="100" w:type="dxa"/>
            </w:tcMar>
          </w:tcPr>
          <w:p>
            <w:pPr>
              <w:jc w:val="left"/>
            </w:pPr>
            <w:r>
              <w:rPr>
                <w:rFonts w:ascii="Calibri" w:hAnsi="Calibri"/>
                <w:sz w:val="19"/>
              </w:rPr>
              <w:t>42,000 units</w:t>
            </w:r>
          </w:p>
        </w:tc>
        <w:tc>
          <w:tcPr>
            <w:tcW w:type="dxa" w:w="1296"/>
            <w:shd w:val="clear" w:color="auto" w:fill="FFFFFF"/>
            <w:tcMar>
              <w:top w:w="80" w:type="dxa"/>
              <w:bottom w:w="80" w:type="dxa"/>
              <w:left w:w="100" w:type="dxa"/>
              <w:right w:w="100" w:type="dxa"/>
            </w:tcMar>
          </w:tcPr>
          <w:p>
            <w:pPr>
              <w:jc w:val="left"/>
            </w:pPr>
            <w:r>
              <w:rPr>
                <w:rFonts w:ascii="Calibri" w:hAnsi="Calibri"/>
                <w:sz w:val="19"/>
              </w:rPr>
              <w:t>17.0%</w:t>
            </w:r>
          </w:p>
        </w:tc>
        <w:tc>
          <w:tcPr>
            <w:tcW w:type="dxa" w:w="2160"/>
            <w:shd w:val="clear" w:color="auto" w:fill="FFFFFF"/>
            <w:tcMar>
              <w:top w:w="80" w:type="dxa"/>
              <w:bottom w:w="80" w:type="dxa"/>
              <w:left w:w="100" w:type="dxa"/>
              <w:right w:w="100" w:type="dxa"/>
            </w:tcMar>
          </w:tcPr>
          <w:p>
            <w:pPr>
              <w:jc w:val="left"/>
            </w:pPr>
            <w:r>
              <w:rPr>
                <w:rFonts w:ascii="Calibri" w:hAnsi="Calibri"/>
                <w:sz w:val="19"/>
              </w:rPr>
              <w:t>Balanced</w:t>
            </w:r>
          </w:p>
        </w:tc>
        <w:tc>
          <w:tcPr>
            <w:tcW w:type="dxa" w:w="2736"/>
            <w:shd w:val="clear" w:color="auto" w:fill="FFFFFF"/>
            <w:tcMar>
              <w:top w:w="80" w:type="dxa"/>
              <w:bottom w:w="80" w:type="dxa"/>
              <w:left w:w="100" w:type="dxa"/>
              <w:right w:w="100" w:type="dxa"/>
            </w:tcMar>
          </w:tcPr>
          <w:p>
            <w:pPr>
              <w:jc w:val="left"/>
            </w:pPr>
            <w:r>
              <w:rPr>
                <w:rFonts w:ascii="Calibri" w:hAnsi="Calibri"/>
                <w:sz w:val="19"/>
              </w:rPr>
              <w:t>Maintain current dynamic reorder threshold</w:t>
            </w:r>
          </w:p>
        </w:tc>
      </w:tr>
      <w:tr>
        <w:tc>
          <w:tcPr>
            <w:tcW w:type="dxa" w:w="2304"/>
            <w:shd w:val="clear" w:color="auto" w:fill="EEF4F8"/>
            <w:tcMar>
              <w:top w:w="80" w:type="dxa"/>
              <w:bottom w:w="80" w:type="dxa"/>
              <w:left w:w="100" w:type="dxa"/>
              <w:right w:w="100" w:type="dxa"/>
            </w:tcMar>
          </w:tcPr>
          <w:p>
            <w:pPr>
              <w:jc w:val="left"/>
            </w:pPr>
            <w:r>
              <w:rPr>
                <w:rFonts w:ascii="Calibri" w:hAnsi="Calibri"/>
                <w:b/>
                <w:color w:val="0B2545"/>
                <w:sz w:val="19"/>
              </w:rPr>
              <w:t>Kolkata (WH6)</w:t>
            </w:r>
          </w:p>
        </w:tc>
        <w:tc>
          <w:tcPr>
            <w:tcW w:type="dxa" w:w="1440"/>
            <w:shd w:val="clear" w:color="auto" w:fill="EEF4F8"/>
            <w:tcMar>
              <w:top w:w="80" w:type="dxa"/>
              <w:bottom w:w="80" w:type="dxa"/>
              <w:left w:w="100" w:type="dxa"/>
              <w:right w:w="100" w:type="dxa"/>
            </w:tcMar>
          </w:tcPr>
          <w:p>
            <w:pPr>
              <w:jc w:val="left"/>
            </w:pPr>
            <w:r>
              <w:rPr>
                <w:rFonts w:ascii="Calibri" w:hAnsi="Calibri"/>
                <w:sz w:val="19"/>
              </w:rPr>
              <w:t>41,000 units</w:t>
            </w:r>
          </w:p>
        </w:tc>
        <w:tc>
          <w:tcPr>
            <w:tcW w:type="dxa" w:w="1296"/>
            <w:shd w:val="clear" w:color="auto" w:fill="EEF4F8"/>
            <w:tcMar>
              <w:top w:w="80" w:type="dxa"/>
              <w:bottom w:w="80" w:type="dxa"/>
              <w:left w:w="100" w:type="dxa"/>
              <w:right w:w="100" w:type="dxa"/>
            </w:tcMar>
          </w:tcPr>
          <w:p>
            <w:pPr>
              <w:jc w:val="left"/>
            </w:pPr>
            <w:r>
              <w:rPr>
                <w:rFonts w:ascii="Calibri" w:hAnsi="Calibri"/>
                <w:sz w:val="19"/>
              </w:rPr>
              <w:t>16.6%</w:t>
            </w:r>
          </w:p>
        </w:tc>
        <w:tc>
          <w:tcPr>
            <w:tcW w:type="dxa" w:w="2160"/>
            <w:shd w:val="clear" w:color="auto" w:fill="EEF4F8"/>
            <w:tcMar>
              <w:top w:w="80" w:type="dxa"/>
              <w:bottom w:w="80" w:type="dxa"/>
              <w:left w:w="100" w:type="dxa"/>
              <w:right w:w="100" w:type="dxa"/>
            </w:tcMar>
          </w:tcPr>
          <w:p>
            <w:pPr>
              <w:jc w:val="left"/>
            </w:pPr>
            <w:r>
              <w:rPr>
                <w:rFonts w:ascii="Calibri" w:hAnsi="Calibri"/>
                <w:sz w:val="19"/>
              </w:rPr>
              <w:t>Balanced</w:t>
            </w:r>
          </w:p>
        </w:tc>
        <w:tc>
          <w:tcPr>
            <w:tcW w:type="dxa" w:w="2736"/>
            <w:shd w:val="clear" w:color="auto" w:fill="EEF4F8"/>
            <w:tcMar>
              <w:top w:w="80" w:type="dxa"/>
              <w:bottom w:w="80" w:type="dxa"/>
              <w:left w:w="100" w:type="dxa"/>
              <w:right w:w="100" w:type="dxa"/>
            </w:tcMar>
          </w:tcPr>
          <w:p>
            <w:pPr>
              <w:jc w:val="left"/>
            </w:pPr>
            <w:r>
              <w:rPr>
                <w:rFonts w:ascii="Calibri" w:hAnsi="Calibri"/>
                <w:sz w:val="19"/>
              </w:rPr>
              <w:t>Maintain current dynamic reorder threshold</w:t>
            </w:r>
          </w:p>
        </w:tc>
      </w:tr>
      <w:tr>
        <w:tc>
          <w:tcPr>
            <w:tcW w:type="dxa" w:w="2304"/>
            <w:shd w:val="clear" w:color="auto" w:fill="FFFFFF"/>
            <w:tcMar>
              <w:top w:w="80" w:type="dxa"/>
              <w:bottom w:w="80" w:type="dxa"/>
              <w:left w:w="100" w:type="dxa"/>
              <w:right w:w="100" w:type="dxa"/>
            </w:tcMar>
          </w:tcPr>
          <w:p>
            <w:pPr>
              <w:jc w:val="left"/>
            </w:pPr>
            <w:r>
              <w:rPr>
                <w:rFonts w:ascii="Calibri" w:hAnsi="Calibri"/>
                <w:b/>
                <w:color w:val="0B2545"/>
                <w:sz w:val="19"/>
              </w:rPr>
              <w:t>Hyderabad (WH4)</w:t>
            </w:r>
          </w:p>
        </w:tc>
        <w:tc>
          <w:tcPr>
            <w:tcW w:type="dxa" w:w="1440"/>
            <w:shd w:val="clear" w:color="auto" w:fill="FFFFFF"/>
            <w:tcMar>
              <w:top w:w="80" w:type="dxa"/>
              <w:bottom w:w="80" w:type="dxa"/>
              <w:left w:w="100" w:type="dxa"/>
              <w:right w:w="100" w:type="dxa"/>
            </w:tcMar>
          </w:tcPr>
          <w:p>
            <w:pPr>
              <w:jc w:val="left"/>
            </w:pPr>
            <w:r>
              <w:rPr>
                <w:rFonts w:ascii="Calibri" w:hAnsi="Calibri"/>
                <w:sz w:val="19"/>
              </w:rPr>
              <w:t>41,000 units</w:t>
            </w:r>
          </w:p>
        </w:tc>
        <w:tc>
          <w:tcPr>
            <w:tcW w:type="dxa" w:w="1296"/>
            <w:shd w:val="clear" w:color="auto" w:fill="FFFFFF"/>
            <w:tcMar>
              <w:top w:w="80" w:type="dxa"/>
              <w:bottom w:w="80" w:type="dxa"/>
              <w:left w:w="100" w:type="dxa"/>
              <w:right w:w="100" w:type="dxa"/>
            </w:tcMar>
          </w:tcPr>
          <w:p>
            <w:pPr>
              <w:jc w:val="left"/>
            </w:pPr>
            <w:r>
              <w:rPr>
                <w:rFonts w:ascii="Calibri" w:hAnsi="Calibri"/>
                <w:sz w:val="19"/>
              </w:rPr>
              <w:t>16.6%</w:t>
            </w:r>
          </w:p>
        </w:tc>
        <w:tc>
          <w:tcPr>
            <w:tcW w:type="dxa" w:w="2160"/>
            <w:shd w:val="clear" w:color="auto" w:fill="FFFFFF"/>
            <w:tcMar>
              <w:top w:w="80" w:type="dxa"/>
              <w:bottom w:w="80" w:type="dxa"/>
              <w:left w:w="100" w:type="dxa"/>
              <w:right w:w="100" w:type="dxa"/>
            </w:tcMar>
          </w:tcPr>
          <w:p>
            <w:pPr>
              <w:jc w:val="left"/>
            </w:pPr>
            <w:r>
              <w:rPr>
                <w:rFonts w:ascii="Calibri" w:hAnsi="Calibri"/>
                <w:sz w:val="19"/>
              </w:rPr>
              <w:t>Balanced</w:t>
            </w:r>
          </w:p>
        </w:tc>
        <w:tc>
          <w:tcPr>
            <w:tcW w:type="dxa" w:w="2736"/>
            <w:shd w:val="clear" w:color="auto" w:fill="FFFFFF"/>
            <w:tcMar>
              <w:top w:w="80" w:type="dxa"/>
              <w:bottom w:w="80" w:type="dxa"/>
              <w:left w:w="100" w:type="dxa"/>
              <w:right w:w="100" w:type="dxa"/>
            </w:tcMar>
          </w:tcPr>
          <w:p>
            <w:pPr>
              <w:jc w:val="left"/>
            </w:pPr>
            <w:r>
              <w:rPr>
                <w:rFonts w:ascii="Calibri" w:hAnsi="Calibri"/>
                <w:sz w:val="19"/>
              </w:rPr>
              <w:t>Maintain current dynamic reorder threshold</w:t>
            </w:r>
          </w:p>
        </w:tc>
      </w:tr>
      <w:tr>
        <w:tc>
          <w:tcPr>
            <w:tcW w:type="dxa" w:w="2304"/>
            <w:shd w:val="clear" w:color="auto" w:fill="EEF4F8"/>
            <w:tcMar>
              <w:top w:w="80" w:type="dxa"/>
              <w:bottom w:w="80" w:type="dxa"/>
              <w:left w:w="100" w:type="dxa"/>
              <w:right w:w="100" w:type="dxa"/>
            </w:tcMar>
          </w:tcPr>
          <w:p>
            <w:pPr>
              <w:jc w:val="left"/>
            </w:pPr>
            <w:r>
              <w:rPr>
                <w:rFonts w:ascii="Calibri" w:hAnsi="Calibri"/>
                <w:b/>
                <w:color w:val="0B2545"/>
                <w:sz w:val="19"/>
              </w:rPr>
              <w:t>Bengaluru (WH3)</w:t>
            </w:r>
          </w:p>
        </w:tc>
        <w:tc>
          <w:tcPr>
            <w:tcW w:type="dxa" w:w="1440"/>
            <w:shd w:val="clear" w:color="auto" w:fill="EEF4F8"/>
            <w:tcMar>
              <w:top w:w="80" w:type="dxa"/>
              <w:bottom w:w="80" w:type="dxa"/>
              <w:left w:w="100" w:type="dxa"/>
              <w:right w:w="100" w:type="dxa"/>
            </w:tcMar>
          </w:tcPr>
          <w:p>
            <w:pPr>
              <w:jc w:val="left"/>
            </w:pPr>
            <w:r>
              <w:rPr>
                <w:rFonts w:ascii="Calibri" w:hAnsi="Calibri"/>
                <w:sz w:val="19"/>
              </w:rPr>
              <w:t>40,000 units</w:t>
            </w:r>
          </w:p>
        </w:tc>
        <w:tc>
          <w:tcPr>
            <w:tcW w:type="dxa" w:w="1296"/>
            <w:shd w:val="clear" w:color="auto" w:fill="EEF4F8"/>
            <w:tcMar>
              <w:top w:w="80" w:type="dxa"/>
              <w:bottom w:w="80" w:type="dxa"/>
              <w:left w:w="100" w:type="dxa"/>
              <w:right w:w="100" w:type="dxa"/>
            </w:tcMar>
          </w:tcPr>
          <w:p>
            <w:pPr>
              <w:jc w:val="left"/>
            </w:pPr>
            <w:r>
              <w:rPr>
                <w:rFonts w:ascii="Calibri" w:hAnsi="Calibri"/>
                <w:sz w:val="19"/>
              </w:rPr>
              <w:t>16.2%</w:t>
            </w:r>
          </w:p>
        </w:tc>
        <w:tc>
          <w:tcPr>
            <w:tcW w:type="dxa" w:w="2160"/>
            <w:shd w:val="clear" w:color="auto" w:fill="EEF4F8"/>
            <w:tcMar>
              <w:top w:w="80" w:type="dxa"/>
              <w:bottom w:w="80" w:type="dxa"/>
              <w:left w:w="100" w:type="dxa"/>
              <w:right w:w="100" w:type="dxa"/>
            </w:tcMar>
          </w:tcPr>
          <w:p>
            <w:pPr>
              <w:jc w:val="left"/>
            </w:pPr>
            <w:r>
              <w:rPr>
                <w:rFonts w:ascii="Calibri" w:hAnsi="Calibri"/>
                <w:sz w:val="19"/>
              </w:rPr>
              <w:t>Slightly Understocked</w:t>
            </w:r>
          </w:p>
        </w:tc>
        <w:tc>
          <w:tcPr>
            <w:tcW w:type="dxa" w:w="2736"/>
            <w:shd w:val="clear" w:color="auto" w:fill="EEF4F8"/>
            <w:tcMar>
              <w:top w:w="80" w:type="dxa"/>
              <w:bottom w:w="80" w:type="dxa"/>
              <w:left w:w="100" w:type="dxa"/>
              <w:right w:w="100" w:type="dxa"/>
            </w:tcMar>
          </w:tcPr>
          <w:p>
            <w:pPr>
              <w:jc w:val="left"/>
            </w:pPr>
            <w:r>
              <w:rPr>
                <w:rFonts w:ascii="Calibri" w:hAnsi="Calibri"/>
                <w:sz w:val="19"/>
              </w:rPr>
              <w:t>Absorb 3,000 transferred units from Chennai</w:t>
            </w:r>
          </w:p>
        </w:tc>
      </w:tr>
      <w:tr>
        <w:tc>
          <w:tcPr>
            <w:tcW w:type="dxa" w:w="2304"/>
            <w:shd w:val="clear" w:color="auto" w:fill="FFFFFF"/>
            <w:tcMar>
              <w:top w:w="80" w:type="dxa"/>
              <w:bottom w:w="80" w:type="dxa"/>
              <w:left w:w="100" w:type="dxa"/>
              <w:right w:w="100" w:type="dxa"/>
            </w:tcMar>
          </w:tcPr>
          <w:p>
            <w:pPr>
              <w:jc w:val="left"/>
            </w:pPr>
            <w:r>
              <w:rPr>
                <w:rFonts w:ascii="Calibri" w:hAnsi="Calibri"/>
                <w:b/>
                <w:color w:val="0B2545"/>
                <w:sz w:val="19"/>
              </w:rPr>
              <w:t>Mumbai (WH1)</w:t>
            </w:r>
          </w:p>
        </w:tc>
        <w:tc>
          <w:tcPr>
            <w:tcW w:type="dxa" w:w="1440"/>
            <w:shd w:val="clear" w:color="auto" w:fill="FFFFFF"/>
            <w:tcMar>
              <w:top w:w="80" w:type="dxa"/>
              <w:bottom w:w="80" w:type="dxa"/>
              <w:left w:w="100" w:type="dxa"/>
              <w:right w:w="100" w:type="dxa"/>
            </w:tcMar>
          </w:tcPr>
          <w:p>
            <w:pPr>
              <w:jc w:val="left"/>
            </w:pPr>
            <w:r>
              <w:rPr>
                <w:rFonts w:ascii="Calibri" w:hAnsi="Calibri"/>
                <w:sz w:val="19"/>
              </w:rPr>
              <w:t>33,000 units</w:t>
            </w:r>
          </w:p>
        </w:tc>
        <w:tc>
          <w:tcPr>
            <w:tcW w:type="dxa" w:w="1296"/>
            <w:shd w:val="clear" w:color="auto" w:fill="FFFFFF"/>
            <w:tcMar>
              <w:top w:w="80" w:type="dxa"/>
              <w:bottom w:w="80" w:type="dxa"/>
              <w:left w:w="100" w:type="dxa"/>
              <w:right w:w="100" w:type="dxa"/>
            </w:tcMar>
          </w:tcPr>
          <w:p>
            <w:pPr>
              <w:jc w:val="left"/>
            </w:pPr>
            <w:r>
              <w:rPr>
                <w:rFonts w:ascii="Calibri" w:hAnsi="Calibri"/>
                <w:sz w:val="19"/>
              </w:rPr>
              <w:t>13.4%</w:t>
            </w:r>
          </w:p>
        </w:tc>
        <w:tc>
          <w:tcPr>
            <w:tcW w:type="dxa" w:w="2160"/>
            <w:shd w:val="clear" w:color="auto" w:fill="FFFFFF"/>
            <w:tcMar>
              <w:top w:w="80" w:type="dxa"/>
              <w:bottom w:w="80" w:type="dxa"/>
              <w:left w:w="100" w:type="dxa"/>
              <w:right w:w="100" w:type="dxa"/>
            </w:tcMar>
          </w:tcPr>
          <w:p>
            <w:pPr>
              <w:jc w:val="left"/>
            </w:pPr>
            <w:r>
              <w:rPr>
                <w:rFonts w:ascii="Calibri" w:hAnsi="Calibri"/>
                <w:sz w:val="19"/>
              </w:rPr>
              <w:t>Understocked (-8.2k vs avg)</w:t>
            </w:r>
          </w:p>
        </w:tc>
        <w:tc>
          <w:tcPr>
            <w:tcW w:type="dxa" w:w="2736"/>
            <w:shd w:val="clear" w:color="auto" w:fill="FFFFFF"/>
            <w:tcMar>
              <w:top w:w="80" w:type="dxa"/>
              <w:bottom w:w="80" w:type="dxa"/>
              <w:left w:w="100" w:type="dxa"/>
              <w:right w:w="100" w:type="dxa"/>
            </w:tcMar>
          </w:tcPr>
          <w:p>
            <w:pPr>
              <w:jc w:val="left"/>
            </w:pPr>
            <w:r>
              <w:rPr>
                <w:rFonts w:ascii="Calibri" w:hAnsi="Calibri"/>
                <w:sz w:val="19"/>
              </w:rPr>
              <w:t>Absorb 5,000 transferred units from Chennai</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360"/>
            <w:shd w:val="clear" w:color="auto" w:fill="EEF4F8"/>
            <w:tcBorders>
              <w:left w:val="single" w:sz="36" w:space="0" w:color="C58A10"/>
              <w:top w:val="none"/>
              <w:bottom w:val="none"/>
              <w:right w:val="none"/>
            </w:tcBorders>
          </w:tcPr>
          <w:p>
            <w:pPr>
              <w:spacing w:before="120" w:after="120"/>
              <w:ind w:left="216" w:right="216"/>
            </w:pPr>
            <w:r>
              <w:rPr>
                <w:rFonts w:ascii="Calibri" w:hAnsi="Calibri"/>
                <w:b/>
                <w:color w:val="0B2545"/>
                <w:sz w:val="22"/>
              </w:rPr>
              <w:t>CRITICAL INVENTORY ALERT: High-Priority SKU Depletion</w:t>
              <w:br/>
            </w:r>
            <w:r>
              <w:rPr>
                <w:rFonts w:ascii="Calibri" w:hAnsi="Calibri"/>
                <w:color w:val="1E293B"/>
                <w:sz w:val="21"/>
              </w:rPr>
              <w:t>Across the 247,000 unit inventory base, 242 SKUs face low-stock alerts and 2 SKUs are completely out of stock. Priority replenishment must target fast-moving items with depleted stock: Finolex Office Chair Pro (4 units remaining), ITC Curtains Ultra (4 units remaining), Dabur Diaper Ultra (5 units remaining), HDFC Foodball Max (5 units remaining), and V-Guard Car Perfume Pro (5 units remaining).</w:t>
            </w:r>
          </w:p>
        </w:tc>
      </w:tr>
    </w:tbl>
    <w:p>
      <w:pPr>
        <w:spacing w:before="0" w:after="120"/>
      </w:pPr>
    </w:p>
    <w:p>
      <w:pPr>
        <w:keepNext/>
        <w:spacing w:before="360" w:after="120"/>
      </w:pPr>
      <w:r>
        <w:rPr>
          <w:rFonts w:ascii="Calibri" w:hAnsi="Calibri"/>
          <w:b/>
          <w:color w:val="0B2545"/>
          <w:sz w:val="32"/>
        </w:rPr>
        <w:t>5. Actionable Recommendations &amp; Implementation Roadmap</w:t>
      </w:r>
    </w:p>
    <w:p>
      <w:pPr>
        <w:spacing w:after="120"/>
        <w:ind w:left="288"/>
      </w:pPr>
      <w:r>
        <w:rPr>
          <w:b/>
          <w:color w:val="C58A10"/>
        </w:rPr>
        <w:t xml:space="preserve">✔ </w:t>
      </w:r>
      <w:r>
        <w:rPr>
          <w:rFonts w:ascii="Calibri" w:hAnsi="Calibri"/>
          <w:b/>
          <w:color w:val="0B2545"/>
          <w:sz w:val="22"/>
        </w:rPr>
        <w:t xml:space="preserve">Inter-Warehouse Stock Redistribution &amp; Dynamic Replenishment: </w:t>
      </w:r>
      <w:r>
        <w:rPr>
          <w:rFonts w:ascii="Calibri" w:hAnsi="Calibri"/>
          <w:sz w:val="21"/>
        </w:rPr>
        <w:t>Reallocate 8,000 excess inventory units from Chennai-WH5 (transferring 5,000 units to Mumbai-WH1 and 3,000 units to Bengaluru-WH3). Implement dynamic replenishment policies based on rolling 30-day regional sales velocity rather than static replenishment rules.</w:t>
      </w:r>
    </w:p>
    <w:p>
      <w:pPr>
        <w:spacing w:after="120"/>
        <w:ind w:left="288"/>
      </w:pPr>
      <w:r>
        <w:rPr>
          <w:b/>
          <w:color w:val="C58A10"/>
        </w:rPr>
        <w:t xml:space="preserve">✔ </w:t>
      </w:r>
      <w:r>
        <w:rPr>
          <w:rFonts w:ascii="Calibri" w:hAnsi="Calibri"/>
          <w:b/>
          <w:color w:val="0B2545"/>
          <w:sz w:val="22"/>
        </w:rPr>
        <w:t xml:space="preserve">Product Page Enhancement &amp; Exchange Policy Rollout: </w:t>
      </w:r>
      <w:r>
        <w:rPr>
          <w:rFonts w:ascii="Calibri" w:hAnsi="Calibri"/>
          <w:sz w:val="21"/>
        </w:rPr>
        <w:t>Upgrade product listings with high-resolution color shade swatches, exact dimensional sizing guides, and full ingredient labels. Introduce a 1-click easy exchange policy allowing size/color swaps instead of full cash refunds to retain order revenue.</w:t>
      </w:r>
    </w:p>
    <w:p>
      <w:pPr>
        <w:spacing w:after="120"/>
        <w:ind w:left="288"/>
      </w:pPr>
      <w:r>
        <w:rPr>
          <w:b/>
          <w:color w:val="C58A10"/>
        </w:rPr>
        <w:t xml:space="preserve">✔ </w:t>
      </w:r>
      <w:r>
        <w:rPr>
          <w:rFonts w:ascii="Calibri" w:hAnsi="Calibri"/>
          <w:b/>
          <w:color w:val="0B2545"/>
          <w:sz w:val="22"/>
        </w:rPr>
        <w:t xml:space="preserve">AI-Driven Demand Forecasting &amp; Quality Audits: </w:t>
      </w:r>
      <w:r>
        <w:rPr>
          <w:rFonts w:ascii="Calibri" w:hAnsi="Calibri"/>
          <w:sz w:val="21"/>
        </w:rPr>
        <w:t>Deploy predictive machine learning models to forecast regional sales surges during festive seasons (October–November). Enforce strict pre-dispatch quality checks for Beauty &amp; Health SKUs and upgrade protective transit packaging for fragile items.</w:t>
      </w:r>
    </w:p>
    <w:p>
      <w:pPr>
        <w:spacing w:after="160"/>
      </w:pPr>
    </w:p>
    <w:p>
      <w:pPr>
        <w:keepNext/>
        <w:spacing w:before="280" w:after="80"/>
      </w:pPr>
      <w:r>
        <w:rPr>
          <w:rFonts w:ascii="Calibri" w:hAnsi="Calibri"/>
          <w:b/>
          <w:color w:val="C58A10"/>
          <w:sz w:val="26"/>
        </w:rPr>
        <w:t>3-Phase Strategic Implementation Timeline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B2545"/>
            <w:tcMar>
              <w:top w:w="100" w:type="dxa"/>
              <w:bottom w:w="100" w:type="dxa"/>
              <w:left w:w="100" w:type="dxa"/>
              <w:right w:w="100" w:type="dxa"/>
            </w:tcMar>
          </w:tcPr>
          <w:p>
            <w:pPr>
              <w:jc w:val="left"/>
            </w:pPr>
            <w:r>
              <w:rPr>
                <w:rFonts w:ascii="Calibri" w:hAnsi="Calibri"/>
                <w:b/>
                <w:color w:val="FFFFFF"/>
                <w:sz w:val="20"/>
              </w:rPr>
              <w:t>Phase &amp; Horizon</w:t>
            </w:r>
          </w:p>
        </w:tc>
        <w:tc>
          <w:tcPr>
            <w:tcW w:type="dxa" w:w="2304"/>
            <w:shd w:val="clear" w:color="auto" w:fill="0B2545"/>
            <w:tcMar>
              <w:top w:w="100" w:type="dxa"/>
              <w:bottom w:w="100" w:type="dxa"/>
              <w:left w:w="100" w:type="dxa"/>
              <w:right w:w="100" w:type="dxa"/>
            </w:tcMar>
          </w:tcPr>
          <w:p>
            <w:pPr>
              <w:jc w:val="left"/>
            </w:pPr>
            <w:r>
              <w:rPr>
                <w:rFonts w:ascii="Calibri" w:hAnsi="Calibri"/>
                <w:b/>
                <w:color w:val="FFFFFF"/>
                <w:sz w:val="20"/>
              </w:rPr>
              <w:t>Focus Operational Area</w:t>
            </w:r>
          </w:p>
        </w:tc>
        <w:tc>
          <w:tcPr>
            <w:tcW w:type="dxa" w:w="3168"/>
            <w:shd w:val="clear" w:color="auto" w:fill="0B2545"/>
            <w:tcMar>
              <w:top w:w="100" w:type="dxa"/>
              <w:bottom w:w="100" w:type="dxa"/>
              <w:left w:w="100" w:type="dxa"/>
              <w:right w:w="100" w:type="dxa"/>
            </w:tcMar>
          </w:tcPr>
          <w:p>
            <w:pPr>
              <w:jc w:val="left"/>
            </w:pPr>
            <w:r>
              <w:rPr>
                <w:rFonts w:ascii="Calibri" w:hAnsi="Calibri"/>
                <w:b/>
                <w:color w:val="FFFFFF"/>
                <w:sz w:val="20"/>
              </w:rPr>
              <w:t>Key Deliverables</w:t>
            </w:r>
          </w:p>
        </w:tc>
        <w:tc>
          <w:tcPr>
            <w:tcW w:type="dxa" w:w="2448"/>
            <w:shd w:val="clear" w:color="auto" w:fill="0B2545"/>
            <w:tcMar>
              <w:top w:w="100" w:type="dxa"/>
              <w:bottom w:w="100" w:type="dxa"/>
              <w:left w:w="100" w:type="dxa"/>
              <w:right w:w="100" w:type="dxa"/>
            </w:tcMar>
          </w:tcPr>
          <w:p>
            <w:pPr>
              <w:jc w:val="left"/>
            </w:pPr>
            <w:r>
              <w:rPr>
                <w:rFonts w:ascii="Calibri" w:hAnsi="Calibri"/>
                <w:b/>
                <w:color w:val="FFFFFF"/>
                <w:sz w:val="20"/>
              </w:rPr>
              <w:t>Target KPI Outcome</w:t>
            </w:r>
          </w:p>
        </w:tc>
      </w:tr>
      <w:tr>
        <w:tc>
          <w:tcPr>
            <w:tcW w:type="dxa" w:w="2016"/>
            <w:shd w:val="clear" w:color="auto" w:fill="EEF4F8"/>
            <w:tcMar>
              <w:top w:w="80" w:type="dxa"/>
              <w:bottom w:w="80" w:type="dxa"/>
              <w:left w:w="100" w:type="dxa"/>
              <w:right w:w="100" w:type="dxa"/>
            </w:tcMar>
          </w:tcPr>
          <w:p>
            <w:pPr>
              <w:jc w:val="left"/>
            </w:pPr>
            <w:r>
              <w:rPr>
                <w:rFonts w:ascii="Calibri" w:hAnsi="Calibri"/>
                <w:b/>
                <w:color w:val="0B2545"/>
                <w:sz w:val="19"/>
              </w:rPr>
              <w:t>Phase 1</w:t>
              <w:br/>
              <w:t>(Months 1–2)</w:t>
            </w:r>
          </w:p>
        </w:tc>
        <w:tc>
          <w:tcPr>
            <w:tcW w:type="dxa" w:w="2304"/>
            <w:shd w:val="clear" w:color="auto" w:fill="EEF4F8"/>
            <w:tcMar>
              <w:top w:w="80" w:type="dxa"/>
              <w:bottom w:w="80" w:type="dxa"/>
              <w:left w:w="100" w:type="dxa"/>
              <w:right w:w="100" w:type="dxa"/>
            </w:tcMar>
          </w:tcPr>
          <w:p>
            <w:pPr>
              <w:jc w:val="left"/>
            </w:pPr>
            <w:r>
              <w:rPr>
                <w:rFonts w:ascii="Calibri" w:hAnsi="Calibri"/>
                <w:sz w:val="19"/>
              </w:rPr>
              <w:t>Warehouse Rebalancing &amp; SKU Emergency Reorder</w:t>
            </w:r>
          </w:p>
        </w:tc>
        <w:tc>
          <w:tcPr>
            <w:tcW w:type="dxa" w:w="3168"/>
            <w:shd w:val="clear" w:color="auto" w:fill="EEF4F8"/>
            <w:tcMar>
              <w:top w:w="80" w:type="dxa"/>
              <w:bottom w:w="80" w:type="dxa"/>
              <w:left w:w="100" w:type="dxa"/>
              <w:right w:w="100" w:type="dxa"/>
            </w:tcMar>
          </w:tcPr>
          <w:p>
            <w:pPr>
              <w:jc w:val="left"/>
            </w:pPr>
            <w:r>
              <w:rPr>
                <w:rFonts w:ascii="Calibri" w:hAnsi="Calibri"/>
                <w:sz w:val="19"/>
              </w:rPr>
              <w:t>Transfer 8k units from Chennai to Mumbai/Bengaluru; reorder top 242 low-stock SKUs.</w:t>
            </w:r>
          </w:p>
        </w:tc>
        <w:tc>
          <w:tcPr>
            <w:tcW w:type="dxa" w:w="2448"/>
            <w:shd w:val="clear" w:color="auto" w:fill="EEF4F8"/>
            <w:tcMar>
              <w:top w:w="80" w:type="dxa"/>
              <w:bottom w:w="80" w:type="dxa"/>
              <w:left w:w="100" w:type="dxa"/>
              <w:right w:w="100" w:type="dxa"/>
            </w:tcMar>
          </w:tcPr>
          <w:p>
            <w:pPr>
              <w:jc w:val="left"/>
            </w:pPr>
            <w:r>
              <w:rPr>
                <w:rFonts w:ascii="Calibri" w:hAnsi="Calibri"/>
                <w:sz w:val="19"/>
              </w:rPr>
              <w:t>Eliminate stockouts; reduce Mumbai fulfillment delays by 25%</w:t>
            </w:r>
          </w:p>
        </w:tc>
      </w:tr>
      <w:tr>
        <w:tc>
          <w:tcPr>
            <w:tcW w:type="dxa" w:w="2016"/>
            <w:shd w:val="clear" w:color="auto" w:fill="FFFFFF"/>
            <w:tcMar>
              <w:top w:w="80" w:type="dxa"/>
              <w:bottom w:w="80" w:type="dxa"/>
              <w:left w:w="100" w:type="dxa"/>
              <w:right w:w="100" w:type="dxa"/>
            </w:tcMar>
          </w:tcPr>
          <w:p>
            <w:pPr>
              <w:jc w:val="left"/>
            </w:pPr>
            <w:r>
              <w:rPr>
                <w:rFonts w:ascii="Calibri" w:hAnsi="Calibri"/>
                <w:b/>
                <w:color w:val="0B2545"/>
                <w:sz w:val="19"/>
              </w:rPr>
              <w:t>Phase 2</w:t>
              <w:br/>
              <w:t>(Months 2–4)</w:t>
            </w:r>
          </w:p>
        </w:tc>
        <w:tc>
          <w:tcPr>
            <w:tcW w:type="dxa" w:w="2304"/>
            <w:shd w:val="clear" w:color="auto" w:fill="FFFFFF"/>
            <w:tcMar>
              <w:top w:w="80" w:type="dxa"/>
              <w:bottom w:w="80" w:type="dxa"/>
              <w:left w:w="100" w:type="dxa"/>
              <w:right w:w="100" w:type="dxa"/>
            </w:tcMar>
          </w:tcPr>
          <w:p>
            <w:pPr>
              <w:jc w:val="left"/>
            </w:pPr>
            <w:r>
              <w:rPr>
                <w:rFonts w:ascii="Calibri" w:hAnsi="Calibri"/>
                <w:sz w:val="19"/>
              </w:rPr>
              <w:t>Return Mitigation &amp; Quality Audits</w:t>
            </w:r>
          </w:p>
        </w:tc>
        <w:tc>
          <w:tcPr>
            <w:tcW w:type="dxa" w:w="3168"/>
            <w:shd w:val="clear" w:color="auto" w:fill="FFFFFF"/>
            <w:tcMar>
              <w:top w:w="80" w:type="dxa"/>
              <w:bottom w:w="80" w:type="dxa"/>
              <w:left w:w="100" w:type="dxa"/>
              <w:right w:w="100" w:type="dxa"/>
            </w:tcMar>
          </w:tcPr>
          <w:p>
            <w:pPr>
              <w:jc w:val="left"/>
            </w:pPr>
            <w:r>
              <w:rPr>
                <w:rFonts w:ascii="Calibri" w:hAnsi="Calibri"/>
                <w:sz w:val="19"/>
              </w:rPr>
              <w:t>Upgrade sizing/shade media on product pages; audit Beauty &amp; Health suppliers; launch Exchange Policy.</w:t>
            </w:r>
          </w:p>
        </w:tc>
        <w:tc>
          <w:tcPr>
            <w:tcW w:type="dxa" w:w="2448"/>
            <w:shd w:val="clear" w:color="auto" w:fill="FFFFFF"/>
            <w:tcMar>
              <w:top w:w="80" w:type="dxa"/>
              <w:bottom w:w="80" w:type="dxa"/>
              <w:left w:w="100" w:type="dxa"/>
              <w:right w:w="100" w:type="dxa"/>
            </w:tcMar>
          </w:tcPr>
          <w:p>
            <w:pPr>
              <w:jc w:val="left"/>
            </w:pPr>
            <w:r>
              <w:rPr>
                <w:rFonts w:ascii="Calibri" w:hAnsi="Calibri"/>
                <w:sz w:val="19"/>
              </w:rPr>
              <w:t>Reduce return rate from 7.87% to &lt;5.0%; retain 30% refund value</w:t>
            </w:r>
          </w:p>
        </w:tc>
      </w:tr>
      <w:tr>
        <w:tc>
          <w:tcPr>
            <w:tcW w:type="dxa" w:w="2016"/>
            <w:shd w:val="clear" w:color="auto" w:fill="EEF4F8"/>
            <w:tcMar>
              <w:top w:w="80" w:type="dxa"/>
              <w:bottom w:w="80" w:type="dxa"/>
              <w:left w:w="100" w:type="dxa"/>
              <w:right w:w="100" w:type="dxa"/>
            </w:tcMar>
          </w:tcPr>
          <w:p>
            <w:pPr>
              <w:jc w:val="left"/>
            </w:pPr>
            <w:r>
              <w:rPr>
                <w:rFonts w:ascii="Calibri" w:hAnsi="Calibri"/>
                <w:b/>
                <w:color w:val="0B2545"/>
                <w:sz w:val="19"/>
              </w:rPr>
              <w:t>Phase 3</w:t>
              <w:br/>
              <w:t>(Months 4–6)</w:t>
            </w:r>
          </w:p>
        </w:tc>
        <w:tc>
          <w:tcPr>
            <w:tcW w:type="dxa" w:w="2304"/>
            <w:shd w:val="clear" w:color="auto" w:fill="EEF4F8"/>
            <w:tcMar>
              <w:top w:w="80" w:type="dxa"/>
              <w:bottom w:w="80" w:type="dxa"/>
              <w:left w:w="100" w:type="dxa"/>
              <w:right w:w="100" w:type="dxa"/>
            </w:tcMar>
          </w:tcPr>
          <w:p>
            <w:pPr>
              <w:jc w:val="left"/>
            </w:pPr>
            <w:r>
              <w:rPr>
                <w:rFonts w:ascii="Calibri" w:hAnsi="Calibri"/>
                <w:sz w:val="19"/>
              </w:rPr>
              <w:t>AI Demand Prediction &amp; Automated Replenishment</w:t>
            </w:r>
          </w:p>
        </w:tc>
        <w:tc>
          <w:tcPr>
            <w:tcW w:type="dxa" w:w="3168"/>
            <w:shd w:val="clear" w:color="auto" w:fill="EEF4F8"/>
            <w:tcMar>
              <w:top w:w="80" w:type="dxa"/>
              <w:bottom w:w="80" w:type="dxa"/>
              <w:left w:w="100" w:type="dxa"/>
              <w:right w:w="100" w:type="dxa"/>
            </w:tcMar>
          </w:tcPr>
          <w:p>
            <w:pPr>
              <w:jc w:val="left"/>
            </w:pPr>
            <w:r>
              <w:rPr>
                <w:rFonts w:ascii="Calibri" w:hAnsi="Calibri"/>
                <w:sz w:val="19"/>
              </w:rPr>
              <w:t>Deploy predictive regional demand models; establish dynamic safety stock thresholds.</w:t>
            </w:r>
          </w:p>
        </w:tc>
        <w:tc>
          <w:tcPr>
            <w:tcW w:type="dxa" w:w="2448"/>
            <w:shd w:val="clear" w:color="auto" w:fill="EEF4F8"/>
            <w:tcMar>
              <w:top w:w="80" w:type="dxa"/>
              <w:bottom w:w="80" w:type="dxa"/>
              <w:left w:w="100" w:type="dxa"/>
              <w:right w:w="100" w:type="dxa"/>
            </w:tcMar>
          </w:tcPr>
          <w:p>
            <w:pPr>
              <w:jc w:val="left"/>
            </w:pPr>
            <w:r>
              <w:rPr>
                <w:rFonts w:ascii="Calibri" w:hAnsi="Calibri"/>
                <w:sz w:val="19"/>
              </w:rPr>
              <w:t>Lower cancellation rate from 11.99% to &lt;7.0%; optimize holding costs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