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A8B5"/>
          <w:sz w:val="20"/>
        </w:rPr>
        <w:t>APL LOGISTICS (KWE GROUP)</w:t>
        <w:br/>
      </w:r>
      <w:r>
        <w:rPr>
          <w:rFonts w:ascii="Arial" w:hAnsi="Arial"/>
          <w:b/>
          <w:color w:val="0A2540"/>
          <w:sz w:val="40"/>
        </w:rPr>
        <w:t>Margin Intelligence &amp; Profitability Performance Report</w:t>
      </w:r>
    </w:p>
    <w:p>
      <w:pPr>
        <w:spacing w:after="280"/>
      </w:pPr>
      <w:r>
        <w:rPr>
          <w:rFonts w:ascii="Arial" w:hAnsi="Arial"/>
          <w:i/>
          <w:color w:val="718096"/>
          <w:sz w:val="20"/>
        </w:rPr>
        <w:t>A Comprehensive Data-Driven Assessment of Supply Chain Leakage, Discount Governance, and Customer Economics</w:t>
      </w:r>
    </w:p>
    <w:tbl>
      <w:tblPr>
        <w:tblW w:type="auto" w:w="0"/>
        <w:jc w:val="center"/>
        <w:tblLayout w:type="fixed"/>
        <w:tblLook w:firstColumn="1" w:firstRow="1" w:lastColumn="0" w:lastRow="0" w:noHBand="0" w:noVBand="1" w:val="04A0"/>
      </w:tblPr>
      <w:tblGrid>
        <w:gridCol w:w="4968"/>
        <w:gridCol w:w="4968"/>
      </w:tblGrid>
      <w:tr>
        <w:tc>
          <w:tcPr>
            <w:tcW w:type="dxa" w:w="6048"/>
            <w:shd w:val="clear" w:color="auto" w:fill="F8FAFC"/>
            <w:tcMar>
              <w:top w:w="120" w:type="dxa"/>
              <w:bottom w:w="120" w:type="dxa"/>
              <w:left w:w="180" w:type="dxa"/>
              <w:right w:w="180" w:type="dxa"/>
            </w:tcMar>
          </w:tcPr>
          <w:p>
            <w:pPr>
              <w:spacing w:after="0"/>
            </w:pPr>
            <w:r>
              <w:rPr>
                <w:b/>
                <w:color w:val="0A2540"/>
                <w:sz w:val="18"/>
              </w:rPr>
              <w:t>Target Organization:</w:t>
            </w:r>
            <w:r>
              <w:rPr>
                <w:color w:val="1A202C"/>
                <w:sz w:val="18"/>
              </w:rPr>
              <w:t xml:space="preserve"> APL Logistics (KWE Group)</w:t>
            </w:r>
          </w:p>
        </w:tc>
        <w:tc>
          <w:tcPr>
            <w:tcW w:type="dxa" w:w="3888"/>
            <w:shd w:val="clear" w:color="auto" w:fill="F8FAFC"/>
            <w:tcMar>
              <w:top w:w="120" w:type="dxa"/>
              <w:bottom w:w="120" w:type="dxa"/>
              <w:left w:w="180" w:type="dxa"/>
              <w:right w:w="180" w:type="dxa"/>
            </w:tcMar>
          </w:tcPr>
          <w:p>
            <w:pPr>
              <w:spacing w:after="0"/>
            </w:pPr>
            <w:r>
              <w:rPr>
                <w:b/>
                <w:color w:val="0A2540"/>
                <w:sz w:val="18"/>
              </w:rPr>
              <w:t>Date:</w:t>
            </w:r>
            <w:r>
              <w:rPr>
                <w:color w:val="1A202C"/>
                <w:sz w:val="18"/>
              </w:rPr>
              <w:t xml:space="preserve"> September 2026</w:t>
            </w:r>
          </w:p>
        </w:tc>
      </w:tr>
      <w:tr>
        <w:tc>
          <w:tcPr>
            <w:tcW w:type="dxa" w:w="6048"/>
            <w:shd w:val="clear" w:color="auto" w:fill="F8FAFC"/>
            <w:tcMar>
              <w:top w:w="120" w:type="dxa"/>
              <w:bottom w:w="120" w:type="dxa"/>
              <w:left w:w="180" w:type="dxa"/>
              <w:right w:w="180" w:type="dxa"/>
            </w:tcMar>
          </w:tcPr>
          <w:p>
            <w:pPr>
              <w:spacing w:after="0"/>
            </w:pPr>
            <w:r>
              <w:rPr>
                <w:b/>
                <w:color w:val="0A2540"/>
                <w:sz w:val="18"/>
              </w:rPr>
              <w:t>Focus Areas:</w:t>
            </w:r>
            <w:r>
              <w:rPr>
                <w:color w:val="1A202C"/>
                <w:sz w:val="18"/>
              </w:rPr>
              <w:t xml:space="preserve"> Supply Chain Profitability, Discount Control</w:t>
            </w:r>
          </w:p>
        </w:tc>
        <w:tc>
          <w:tcPr>
            <w:tcW w:type="dxa" w:w="3888"/>
            <w:shd w:val="clear" w:color="auto" w:fill="F8FAFC"/>
            <w:tcMar>
              <w:top w:w="120" w:type="dxa"/>
              <w:bottom w:w="120" w:type="dxa"/>
              <w:left w:w="180" w:type="dxa"/>
              <w:right w:w="180" w:type="dxa"/>
            </w:tcMar>
          </w:tcPr>
          <w:p>
            <w:pPr>
              <w:spacing w:after="0"/>
            </w:pPr>
            <w:r>
              <w:rPr>
                <w:b/>
                <w:color w:val="0A2540"/>
                <w:sz w:val="18"/>
              </w:rPr>
              <w:t>Status:</w:t>
            </w:r>
            <w:r>
              <w:rPr>
                <w:color w:val="1A202C"/>
                <w:sz w:val="18"/>
              </w:rPr>
              <w:t xml:space="preserve"> Executive Recommendation</w:t>
            </w:r>
          </w:p>
        </w:tc>
      </w:tr>
    </w:tbl>
    <w:p>
      <w:pPr>
        <w:spacing w:after="200"/>
      </w:pPr>
    </w:p>
    <w:p>
      <w:pPr>
        <w:keepNext/>
        <w:spacing w:before="320" w:after="120"/>
      </w:pPr>
      <w:r>
        <w:rPr>
          <w:rFonts w:ascii="Arial" w:hAnsi="Arial"/>
          <w:b/>
          <w:color w:val="0A2540"/>
          <w:sz w:val="26"/>
        </w:rPr>
        <w:t>1. EXECUTIVE SUMMARY &amp; KEY PERFORMANCE INDICATORS</w:t>
      </w:r>
    </w:p>
    <w:p>
      <w:pPr>
        <w:spacing w:after="160" w:line="280" w:lineRule="exact"/>
      </w:pPr>
      <w:r>
        <w:rPr>
          <w:rFonts w:ascii="Arial" w:hAnsi="Arial"/>
          <w:sz w:val="19"/>
        </w:rPr>
        <w:t>This formal business report delivers an end-to-end commercial performance evaluation for APL Logistics (KWE Group). By auditing enterprise sales, order fulfillment, freight logistics, and promotional pricing datasets, this analysis reveals critical commercial dynamics: while gross sales volume is robust at $36.78M, net earnings stand at $3.97M (a 10.78% net profit margin). Financial performance is severely compromised by unmonitored discount leakage totaling $3.73M and operational freight surcharges during expedited fulfillment cycles.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val="clear" w:color="auto" w:fill="F8FAFC"/>
            <w:tcMar>
              <w:top w:w="140" w:type="dxa"/>
              <w:bottom w:w="140" w:type="dxa"/>
              <w:left w:w="140" w:type="dxa"/>
              <w:right w:w="140" w:type="dxa"/>
            </w:tcMar>
          </w:tcPr>
          <w:p>
            <w:pPr>
              <w:spacing w:after="40"/>
              <w:jc w:val="center"/>
            </w:pPr>
            <w:r>
              <w:rPr>
                <w:rFonts w:ascii="Arial" w:hAnsi="Arial"/>
                <w:b/>
                <w:color w:val="718096"/>
                <w:sz w:val="16"/>
              </w:rPr>
              <w:t>TOTAL REVENUE</w:t>
              <w:br/>
            </w:r>
            <w:r>
              <w:rPr>
                <w:rFonts w:ascii="Arial" w:hAnsi="Arial"/>
                <w:b/>
                <w:color w:val="0A2540"/>
                <w:sz w:val="26"/>
              </w:rPr>
              <w:t>$36.78M</w:t>
              <w:br/>
            </w:r>
            <w:r>
              <w:rPr>
                <w:rFonts w:ascii="Arial" w:hAnsi="Arial"/>
                <w:color w:val="718096"/>
                <w:sz w:val="15"/>
              </w:rPr>
              <w:t>Reconciled Sales</w:t>
            </w:r>
          </w:p>
        </w:tc>
        <w:tc>
          <w:tcPr>
            <w:tcW w:type="dxa" w:w="2484"/>
            <w:shd w:val="clear" w:color="auto" w:fill="F8FAFC"/>
            <w:tcMar>
              <w:top w:w="140" w:type="dxa"/>
              <w:bottom w:w="140" w:type="dxa"/>
              <w:left w:w="140" w:type="dxa"/>
              <w:right w:w="140" w:type="dxa"/>
            </w:tcMar>
          </w:tcPr>
          <w:p>
            <w:pPr>
              <w:spacing w:after="40"/>
              <w:jc w:val="center"/>
            </w:pPr>
            <w:r>
              <w:rPr>
                <w:rFonts w:ascii="Arial" w:hAnsi="Arial"/>
                <w:b/>
                <w:color w:val="718096"/>
                <w:sz w:val="16"/>
              </w:rPr>
              <w:t>NET PROFIT</w:t>
              <w:br/>
            </w:r>
            <w:r>
              <w:rPr>
                <w:rFonts w:ascii="Arial" w:hAnsi="Arial"/>
                <w:b/>
                <w:color w:val="2F855A"/>
                <w:sz w:val="26"/>
              </w:rPr>
              <w:t>$3.97M</w:t>
              <w:br/>
            </w:r>
            <w:r>
              <w:rPr>
                <w:rFonts w:ascii="Arial" w:hAnsi="Arial"/>
                <w:color w:val="718096"/>
                <w:sz w:val="15"/>
              </w:rPr>
              <w:t>10.78% Net Margin</w:t>
            </w:r>
          </w:p>
        </w:tc>
        <w:tc>
          <w:tcPr>
            <w:tcW w:type="dxa" w:w="2484"/>
            <w:shd w:val="clear" w:color="auto" w:fill="F8FAFC"/>
            <w:tcMar>
              <w:top w:w="140" w:type="dxa"/>
              <w:bottom w:w="140" w:type="dxa"/>
              <w:left w:w="140" w:type="dxa"/>
              <w:right w:w="140" w:type="dxa"/>
            </w:tcMar>
          </w:tcPr>
          <w:p>
            <w:pPr>
              <w:spacing w:after="40"/>
              <w:jc w:val="center"/>
            </w:pPr>
            <w:r>
              <w:rPr>
                <w:rFonts w:ascii="Arial" w:hAnsi="Arial"/>
                <w:b/>
                <w:color w:val="718096"/>
                <w:sz w:val="16"/>
              </w:rPr>
              <w:t>TOTAL DISCOUNT</w:t>
              <w:br/>
            </w:r>
            <w:r>
              <w:rPr>
                <w:rFonts w:ascii="Arial" w:hAnsi="Arial"/>
                <w:b/>
                <w:color w:val="E53E3E"/>
                <w:sz w:val="26"/>
              </w:rPr>
              <w:t>$3.73M</w:t>
              <w:br/>
            </w:r>
            <w:r>
              <w:rPr>
                <w:rFonts w:ascii="Arial" w:hAnsi="Arial"/>
                <w:color w:val="718096"/>
                <w:sz w:val="15"/>
              </w:rPr>
              <w:t>10.17% Avg Rate</w:t>
            </w:r>
          </w:p>
        </w:tc>
        <w:tc>
          <w:tcPr>
            <w:tcW w:type="dxa" w:w="2484"/>
            <w:shd w:val="clear" w:color="auto" w:fill="F8FAFC"/>
            <w:tcMar>
              <w:top w:w="140" w:type="dxa"/>
              <w:bottom w:w="140" w:type="dxa"/>
              <w:left w:w="140" w:type="dxa"/>
              <w:right w:w="140" w:type="dxa"/>
            </w:tcMar>
          </w:tcPr>
          <w:p>
            <w:pPr>
              <w:spacing w:after="40"/>
              <w:jc w:val="center"/>
            </w:pPr>
            <w:r>
              <w:rPr>
                <w:rFonts w:ascii="Arial" w:hAnsi="Arial"/>
                <w:b/>
                <w:color w:val="718096"/>
                <w:sz w:val="16"/>
              </w:rPr>
              <w:t>TOP PRODUCT</w:t>
              <w:br/>
            </w:r>
            <w:r>
              <w:rPr>
                <w:rFonts w:ascii="Arial" w:hAnsi="Arial"/>
                <w:b/>
                <w:color w:val="00A8B5"/>
                <w:sz w:val="26"/>
              </w:rPr>
              <w:t>$756.22K</w:t>
              <w:br/>
            </w:r>
            <w:r>
              <w:rPr>
                <w:rFonts w:ascii="Arial" w:hAnsi="Arial"/>
                <w:color w:val="718096"/>
                <w:sz w:val="15"/>
              </w:rPr>
              <w:t>16 Gun Fire Safe</w:t>
            </w:r>
          </w:p>
        </w:tc>
      </w:tr>
    </w:tbl>
    <w:p>
      <w:pPr>
        <w:spacing w:after="160"/>
      </w:pPr>
    </w:p>
    <w:p>
      <w:pPr>
        <w:keepNext/>
        <w:spacing w:before="240" w:after="80"/>
      </w:pPr>
      <w:r>
        <w:rPr>
          <w:rFonts w:ascii="Arial" w:hAnsi="Arial"/>
          <w:b/>
          <w:color w:val="00A8B5"/>
          <w:sz w:val="22"/>
        </w:rPr>
        <w:t>Core Strategic Takeaways</w:t>
      </w:r>
    </w:p>
    <w:p>
      <w:pPr>
        <w:pStyle w:val="ListBullet"/>
        <w:spacing w:after="60" w:line="260" w:lineRule="exact"/>
      </w:pPr>
      <w:r>
        <w:rPr>
          <w:b/>
          <w:color w:val="0A2540"/>
          <w:sz w:val="19"/>
        </w:rPr>
        <w:t xml:space="preserve">Discount Degradation: </w:t>
      </w:r>
      <w:r>
        <w:rPr>
          <w:sz w:val="19"/>
        </w:rPr>
        <w:t>Orders receiving 0–10% discounts yield a healthy ~22% margin. However, as discounts reach 20–30%, net margins drop sharply to ~16%, stripping $3.73M in potential revenue.</w:t>
      </w:r>
    </w:p>
    <w:p>
      <w:pPr>
        <w:pStyle w:val="ListBullet"/>
        <w:spacing w:after="60" w:line="260" w:lineRule="exact"/>
      </w:pPr>
      <w:r>
        <w:rPr>
          <w:b/>
          <w:color w:val="0A2540"/>
          <w:sz w:val="19"/>
        </w:rPr>
        <w:t xml:space="preserve">Day 1 Shipping Bottleneck: </w:t>
      </w:r>
      <w:r>
        <w:rPr>
          <w:sz w:val="19"/>
        </w:rPr>
        <w:t>Fulfillment completed on Day 1 encounters an acute margin dip to 9.50% (vs 10.78% portfolio baseline) due to expedite fees and premium freight handling.</w:t>
      </w:r>
    </w:p>
    <w:p>
      <w:pPr>
        <w:pStyle w:val="ListBullet"/>
        <w:spacing w:after="60" w:line="260" w:lineRule="exact"/>
      </w:pPr>
      <w:r>
        <w:rPr>
          <w:b/>
          <w:color w:val="0A2540"/>
          <w:sz w:val="19"/>
        </w:rPr>
        <w:t xml:space="preserve">Account Cross-Subsidization: </w:t>
      </w:r>
      <w:r>
        <w:rPr>
          <w:sz w:val="19"/>
        </w:rPr>
        <w:t>The Consumer segment contributes 52.2% ($2.07M) of total profit, but severe loss accounts (e.g., Account ID 1428 at -$3.87K) erase gains.</w:t>
      </w:r>
    </w:p>
    <w:p>
      <w:pPr>
        <w:keepNext/>
        <w:spacing w:before="320" w:after="120"/>
      </w:pPr>
      <w:r>
        <w:rPr>
          <w:rFonts w:ascii="Arial" w:hAnsi="Arial"/>
          <w:b/>
          <w:color w:val="0A2540"/>
          <w:sz w:val="26"/>
        </w:rPr>
        <w:t>2. CORPORATE BACKGROUND &amp; PROBLEM STATEMENT</w:t>
      </w:r>
    </w:p>
    <w:p>
      <w:pPr>
        <w:spacing w:after="120" w:line="280" w:lineRule="exact"/>
      </w:pPr>
      <w:r>
        <w:rPr>
          <w:sz w:val="19"/>
        </w:rPr>
        <w:t>Operating within the KWE Group global logistics network, APL Logistics manages complex multi-regional supply chains across 10 primary global territories (Western Europe, Central America, South America, Northern Europe, Southern Europe, Oceania, Southeast Asia, Caribbean, West of USA, and South Asia). Traditionally, executive performance metrics prioritized top-line freight and order volumes. However, opaque cost structures, uncoordinated commercial discounting, and heavyweight freight cost liabilities have caused silent margin erosion.</w:t>
      </w:r>
    </w:p>
    <w:p>
      <w:pPr>
        <w:keepNext/>
        <w:spacing w:before="320" w:after="120"/>
      </w:pPr>
      <w:r>
        <w:rPr>
          <w:rFonts w:ascii="Arial" w:hAnsi="Arial"/>
          <w:b/>
          <w:color w:val="0A2540"/>
          <w:sz w:val="26"/>
        </w:rPr>
        <w:t>3. METHODOLOGY &amp; DATA RECONCILIATIONS</w:t>
      </w:r>
    </w:p>
    <w:p>
      <w:pPr>
        <w:spacing w:after="160"/>
      </w:pPr>
      <w:r>
        <w:rPr>
          <w:sz w:val="19"/>
        </w:rPr>
        <w:t>Key performance indicators were normalized and verified across Power BI models and Streamlit analytical frameworks:</w:t>
      </w:r>
    </w:p>
    <w:tbl>
      <w:tblPr>
        <w:tblW w:type="auto" w:w="0"/>
        <w:jc w:val="center"/>
        <w:tblLayout w:type="fixed"/>
        <w:tblLook w:firstColumn="1" w:firstRow="1" w:lastColumn="0" w:lastRow="0" w:noHBand="0" w:noVBand="1" w:val="04A0"/>
      </w:tblPr>
      <w:tblGrid>
        <w:gridCol w:w="3312"/>
        <w:gridCol w:w="3312"/>
        <w:gridCol w:w="3312"/>
      </w:tblGrid>
      <w:tr>
        <w:tc>
          <w:tcPr>
            <w:tcW w:type="dxa" w:w="2880"/>
            <w:shd w:val="clear" w:color="auto" w:fill="0A2540"/>
            <w:tcMar>
              <w:top w:w="100" w:type="dxa"/>
              <w:bottom w:w="100" w:type="dxa"/>
              <w:left w:w="120" w:type="dxa"/>
              <w:right w:w="120" w:type="dxa"/>
            </w:tcMar>
          </w:tcPr>
          <w:p>
            <w:pPr>
              <w:spacing w:after="0"/>
            </w:pPr>
            <w:r>
              <w:rPr>
                <w:b/>
                <w:color w:val="FFFFFF"/>
                <w:sz w:val="18"/>
              </w:rPr>
              <w:t>Metric Dimension</w:t>
            </w:r>
          </w:p>
        </w:tc>
        <w:tc>
          <w:tcPr>
            <w:tcW w:type="dxa" w:w="2592"/>
            <w:shd w:val="clear" w:color="auto" w:fill="0A2540"/>
            <w:tcMar>
              <w:top w:w="100" w:type="dxa"/>
              <w:bottom w:w="100" w:type="dxa"/>
              <w:left w:w="120" w:type="dxa"/>
              <w:right w:w="120" w:type="dxa"/>
            </w:tcMar>
          </w:tcPr>
          <w:p>
            <w:pPr>
              <w:spacing w:after="0"/>
            </w:pPr>
            <w:r>
              <w:rPr>
                <w:b/>
                <w:color w:val="FFFFFF"/>
                <w:sz w:val="18"/>
              </w:rPr>
              <w:t>Reconciled Value</w:t>
            </w:r>
          </w:p>
        </w:tc>
        <w:tc>
          <w:tcPr>
            <w:tcW w:type="dxa" w:w="4464"/>
            <w:shd w:val="clear" w:color="auto" w:fill="0A2540"/>
            <w:tcMar>
              <w:top w:w="100" w:type="dxa"/>
              <w:bottom w:w="100" w:type="dxa"/>
              <w:left w:w="120" w:type="dxa"/>
              <w:right w:w="120" w:type="dxa"/>
            </w:tcMar>
          </w:tcPr>
          <w:p>
            <w:pPr>
              <w:spacing w:after="0"/>
            </w:pPr>
            <w:r>
              <w:rPr>
                <w:b/>
                <w:color w:val="FFFFFF"/>
                <w:sz w:val="18"/>
              </w:rPr>
              <w:t>Business Definition &amp; Formula</w:t>
            </w:r>
          </w:p>
        </w:tc>
      </w:tr>
      <w:tr>
        <w:tc>
          <w:tcPr>
            <w:tcW w:type="dxa" w:w="2880"/>
            <w:shd w:val="clear" w:color="auto" w:fill="FFFFFF"/>
            <w:tcMar>
              <w:top w:w="80" w:type="dxa"/>
              <w:bottom w:w="80" w:type="dxa"/>
              <w:left w:w="120" w:type="dxa"/>
              <w:right w:w="120" w:type="dxa"/>
            </w:tcMar>
          </w:tcPr>
          <w:p>
            <w:pPr>
              <w:spacing w:after="0"/>
            </w:pPr>
            <w:r>
              <w:rPr>
                <w:b/>
                <w:color w:val="0A2540"/>
                <w:sz w:val="17"/>
              </w:rPr>
              <w:t>Gross Revenue</w:t>
            </w:r>
          </w:p>
        </w:tc>
        <w:tc>
          <w:tcPr>
            <w:tcW w:type="dxa" w:w="2592"/>
            <w:shd w:val="clear" w:color="auto" w:fill="FFFFFF"/>
            <w:tcMar>
              <w:top w:w="80" w:type="dxa"/>
              <w:bottom w:w="80" w:type="dxa"/>
              <w:left w:w="120" w:type="dxa"/>
              <w:right w:w="120" w:type="dxa"/>
            </w:tcMar>
          </w:tcPr>
          <w:p>
            <w:pPr>
              <w:spacing w:after="0"/>
            </w:pPr>
            <w:r>
              <w:rPr>
                <w:sz w:val="17"/>
              </w:rPr>
              <w:t>$36,784,734.31</w:t>
            </w:r>
          </w:p>
        </w:tc>
        <w:tc>
          <w:tcPr>
            <w:tcW w:type="dxa" w:w="4464"/>
            <w:shd w:val="clear" w:color="auto" w:fill="FFFFFF"/>
            <w:tcMar>
              <w:top w:w="80" w:type="dxa"/>
              <w:bottom w:w="80" w:type="dxa"/>
              <w:left w:w="120" w:type="dxa"/>
              <w:right w:w="120" w:type="dxa"/>
            </w:tcMar>
          </w:tcPr>
          <w:p>
            <w:pPr>
              <w:spacing w:after="0"/>
            </w:pPr>
            <w:r>
              <w:rPr>
                <w:sz w:val="17"/>
              </w:rPr>
              <w:t>Total invoiced transaction value before adjustments</w:t>
            </w:r>
          </w:p>
        </w:tc>
      </w:tr>
      <w:tr>
        <w:tc>
          <w:tcPr>
            <w:tcW w:type="dxa" w:w="2880"/>
            <w:shd w:val="clear" w:color="auto" w:fill="F8FAFC"/>
            <w:tcMar>
              <w:top w:w="80" w:type="dxa"/>
              <w:bottom w:w="80" w:type="dxa"/>
              <w:left w:w="120" w:type="dxa"/>
              <w:right w:w="120" w:type="dxa"/>
            </w:tcMar>
          </w:tcPr>
          <w:p>
            <w:pPr>
              <w:spacing w:after="0"/>
            </w:pPr>
            <w:r>
              <w:rPr>
                <w:b/>
                <w:color w:val="0A2540"/>
                <w:sz w:val="17"/>
              </w:rPr>
              <w:t>Net Profit</w:t>
            </w:r>
          </w:p>
        </w:tc>
        <w:tc>
          <w:tcPr>
            <w:tcW w:type="dxa" w:w="2592"/>
            <w:shd w:val="clear" w:color="auto" w:fill="F8FAFC"/>
            <w:tcMar>
              <w:top w:w="80" w:type="dxa"/>
              <w:bottom w:w="80" w:type="dxa"/>
              <w:left w:w="120" w:type="dxa"/>
              <w:right w:w="120" w:type="dxa"/>
            </w:tcMar>
          </w:tcPr>
          <w:p>
            <w:pPr>
              <w:spacing w:after="0"/>
            </w:pPr>
            <w:r>
              <w:rPr>
                <w:sz w:val="17"/>
              </w:rPr>
              <w:t>$3,966,902.97</w:t>
            </w:r>
          </w:p>
        </w:tc>
        <w:tc>
          <w:tcPr>
            <w:tcW w:type="dxa" w:w="4464"/>
            <w:shd w:val="clear" w:color="auto" w:fill="F8FAFC"/>
            <w:tcMar>
              <w:top w:w="80" w:type="dxa"/>
              <w:bottom w:w="80" w:type="dxa"/>
              <w:left w:w="120" w:type="dxa"/>
              <w:right w:w="120" w:type="dxa"/>
            </w:tcMar>
          </w:tcPr>
          <w:p>
            <w:pPr>
              <w:spacing w:after="0"/>
            </w:pPr>
            <w:r>
              <w:rPr>
                <w:sz w:val="17"/>
              </w:rPr>
              <w:t>Gross Revenue minus Freight, COGS, and Handling Costs</w:t>
            </w:r>
          </w:p>
        </w:tc>
      </w:tr>
      <w:tr>
        <w:tc>
          <w:tcPr>
            <w:tcW w:type="dxa" w:w="2880"/>
            <w:shd w:val="clear" w:color="auto" w:fill="FFFFFF"/>
            <w:tcMar>
              <w:top w:w="80" w:type="dxa"/>
              <w:bottom w:w="80" w:type="dxa"/>
              <w:left w:w="120" w:type="dxa"/>
              <w:right w:w="120" w:type="dxa"/>
            </w:tcMar>
          </w:tcPr>
          <w:p>
            <w:pPr>
              <w:spacing w:after="0"/>
            </w:pPr>
            <w:r>
              <w:rPr>
                <w:b/>
                <w:color w:val="0A2540"/>
                <w:sz w:val="17"/>
              </w:rPr>
              <w:t>Net Profit Margin %</w:t>
            </w:r>
          </w:p>
        </w:tc>
        <w:tc>
          <w:tcPr>
            <w:tcW w:type="dxa" w:w="2592"/>
            <w:shd w:val="clear" w:color="auto" w:fill="FFFFFF"/>
            <w:tcMar>
              <w:top w:w="80" w:type="dxa"/>
              <w:bottom w:w="80" w:type="dxa"/>
              <w:left w:w="120" w:type="dxa"/>
              <w:right w:w="120" w:type="dxa"/>
            </w:tcMar>
          </w:tcPr>
          <w:p>
            <w:pPr>
              <w:spacing w:after="0"/>
            </w:pPr>
            <w:r>
              <w:rPr>
                <w:sz w:val="17"/>
              </w:rPr>
              <w:t>10.78%</w:t>
            </w:r>
          </w:p>
        </w:tc>
        <w:tc>
          <w:tcPr>
            <w:tcW w:type="dxa" w:w="4464"/>
            <w:shd w:val="clear" w:color="auto" w:fill="FFFFFF"/>
            <w:tcMar>
              <w:top w:w="80" w:type="dxa"/>
              <w:bottom w:w="80" w:type="dxa"/>
              <w:left w:w="120" w:type="dxa"/>
              <w:right w:w="120" w:type="dxa"/>
            </w:tcMar>
          </w:tcPr>
          <w:p>
            <w:pPr>
              <w:spacing w:after="0"/>
            </w:pPr>
            <w:r>
              <w:rPr>
                <w:sz w:val="17"/>
              </w:rPr>
              <w:t>(Net Profit ÷ Gross Revenue) × 100</w:t>
            </w:r>
          </w:p>
        </w:tc>
      </w:tr>
      <w:tr>
        <w:tc>
          <w:tcPr>
            <w:tcW w:type="dxa" w:w="2880"/>
            <w:shd w:val="clear" w:color="auto" w:fill="F8FAFC"/>
            <w:tcMar>
              <w:top w:w="80" w:type="dxa"/>
              <w:bottom w:w="80" w:type="dxa"/>
              <w:left w:w="120" w:type="dxa"/>
              <w:right w:w="120" w:type="dxa"/>
            </w:tcMar>
          </w:tcPr>
          <w:p>
            <w:pPr>
              <w:spacing w:after="0"/>
            </w:pPr>
            <w:r>
              <w:rPr>
                <w:b/>
                <w:color w:val="0A2540"/>
                <w:sz w:val="17"/>
              </w:rPr>
              <w:t>Total Commercial Discount</w:t>
            </w:r>
          </w:p>
        </w:tc>
        <w:tc>
          <w:tcPr>
            <w:tcW w:type="dxa" w:w="2592"/>
            <w:shd w:val="clear" w:color="auto" w:fill="F8FAFC"/>
            <w:tcMar>
              <w:top w:w="80" w:type="dxa"/>
              <w:bottom w:w="80" w:type="dxa"/>
              <w:left w:w="120" w:type="dxa"/>
              <w:right w:w="120" w:type="dxa"/>
            </w:tcMar>
          </w:tcPr>
          <w:p>
            <w:pPr>
              <w:spacing w:after="0"/>
            </w:pPr>
            <w:r>
              <w:rPr>
                <w:sz w:val="17"/>
              </w:rPr>
              <w:t>$3,729,800.72</w:t>
            </w:r>
          </w:p>
        </w:tc>
        <w:tc>
          <w:tcPr>
            <w:tcW w:type="dxa" w:w="4464"/>
            <w:shd w:val="clear" w:color="auto" w:fill="F8FAFC"/>
            <w:tcMar>
              <w:top w:w="80" w:type="dxa"/>
              <w:bottom w:w="80" w:type="dxa"/>
              <w:left w:w="120" w:type="dxa"/>
              <w:right w:w="120" w:type="dxa"/>
            </w:tcMar>
          </w:tcPr>
          <w:p>
            <w:pPr>
              <w:spacing w:after="0"/>
            </w:pPr>
            <w:r>
              <w:rPr>
                <w:sz w:val="17"/>
              </w:rPr>
              <w:t>Cumulative value of field discounts applied</w:t>
            </w:r>
          </w:p>
        </w:tc>
      </w:tr>
      <w:tr>
        <w:tc>
          <w:tcPr>
            <w:tcW w:type="dxa" w:w="2880"/>
            <w:shd w:val="clear" w:color="auto" w:fill="FFFFFF"/>
            <w:tcMar>
              <w:top w:w="80" w:type="dxa"/>
              <w:bottom w:w="80" w:type="dxa"/>
              <w:left w:w="120" w:type="dxa"/>
              <w:right w:w="120" w:type="dxa"/>
            </w:tcMar>
          </w:tcPr>
          <w:p>
            <w:pPr>
              <w:spacing w:after="0"/>
            </w:pPr>
            <w:r>
              <w:rPr>
                <w:b/>
                <w:color w:val="0A2540"/>
                <w:sz w:val="17"/>
              </w:rPr>
              <w:t>Average Discount Rate</w:t>
            </w:r>
          </w:p>
        </w:tc>
        <w:tc>
          <w:tcPr>
            <w:tcW w:type="dxa" w:w="2592"/>
            <w:shd w:val="clear" w:color="auto" w:fill="FFFFFF"/>
            <w:tcMar>
              <w:top w:w="80" w:type="dxa"/>
              <w:bottom w:w="80" w:type="dxa"/>
              <w:left w:w="120" w:type="dxa"/>
              <w:right w:w="120" w:type="dxa"/>
            </w:tcMar>
          </w:tcPr>
          <w:p>
            <w:pPr>
              <w:spacing w:after="0"/>
            </w:pPr>
            <w:r>
              <w:rPr>
                <w:sz w:val="17"/>
              </w:rPr>
              <w:t>10.17%</w:t>
            </w:r>
          </w:p>
        </w:tc>
        <w:tc>
          <w:tcPr>
            <w:tcW w:type="dxa" w:w="4464"/>
            <w:shd w:val="clear" w:color="auto" w:fill="FFFFFF"/>
            <w:tcMar>
              <w:top w:w="80" w:type="dxa"/>
              <w:bottom w:w="80" w:type="dxa"/>
              <w:left w:w="120" w:type="dxa"/>
              <w:right w:w="120" w:type="dxa"/>
            </w:tcMar>
          </w:tcPr>
          <w:p>
            <w:pPr>
              <w:spacing w:after="0"/>
            </w:pPr>
            <w:r>
              <w:rPr>
                <w:sz w:val="17"/>
              </w:rPr>
              <w:t>Mean promotional percentage across all filled orders</w:t>
            </w:r>
          </w:p>
        </w:tc>
      </w:tr>
      <w:tr>
        <w:tc>
          <w:tcPr>
            <w:tcW w:type="dxa" w:w="2880"/>
            <w:shd w:val="clear" w:color="auto" w:fill="F8FAFC"/>
            <w:tcMar>
              <w:top w:w="80" w:type="dxa"/>
              <w:bottom w:w="80" w:type="dxa"/>
              <w:left w:w="120" w:type="dxa"/>
              <w:right w:w="120" w:type="dxa"/>
            </w:tcMar>
          </w:tcPr>
          <w:p>
            <w:pPr>
              <w:spacing w:after="0"/>
            </w:pPr>
            <w:r>
              <w:rPr>
                <w:b/>
                <w:color w:val="0A2540"/>
                <w:sz w:val="17"/>
              </w:rPr>
              <w:t>Discount Impact Ratio</w:t>
            </w:r>
          </w:p>
        </w:tc>
        <w:tc>
          <w:tcPr>
            <w:tcW w:type="dxa" w:w="2592"/>
            <w:shd w:val="clear" w:color="auto" w:fill="F8FAFC"/>
            <w:tcMar>
              <w:top w:w="80" w:type="dxa"/>
              <w:bottom w:w="80" w:type="dxa"/>
              <w:left w:w="120" w:type="dxa"/>
              <w:right w:w="120" w:type="dxa"/>
            </w:tcMar>
          </w:tcPr>
          <w:p>
            <w:pPr>
              <w:spacing w:after="0"/>
            </w:pPr>
            <w:r>
              <w:rPr>
                <w:sz w:val="17"/>
              </w:rPr>
              <w:t>10.14%</w:t>
            </w:r>
          </w:p>
        </w:tc>
        <w:tc>
          <w:tcPr>
            <w:tcW w:type="dxa" w:w="4464"/>
            <w:shd w:val="clear" w:color="auto" w:fill="F8FAFC"/>
            <w:tcMar>
              <w:top w:w="80" w:type="dxa"/>
              <w:bottom w:w="80" w:type="dxa"/>
              <w:left w:w="120" w:type="dxa"/>
              <w:right w:w="120" w:type="dxa"/>
            </w:tcMar>
          </w:tcPr>
          <w:p>
            <w:pPr>
              <w:spacing w:after="0"/>
            </w:pPr>
            <w:r>
              <w:rPr>
                <w:sz w:val="17"/>
              </w:rPr>
              <w:t>Proportional margin dilution factor</w:t>
            </w:r>
          </w:p>
        </w:tc>
      </w:tr>
      <w:tr>
        <w:tc>
          <w:tcPr>
            <w:tcW w:type="dxa" w:w="2880"/>
            <w:shd w:val="clear" w:color="auto" w:fill="FFFFFF"/>
            <w:tcMar>
              <w:top w:w="80" w:type="dxa"/>
              <w:bottom w:w="80" w:type="dxa"/>
              <w:left w:w="120" w:type="dxa"/>
              <w:right w:w="120" w:type="dxa"/>
            </w:tcMar>
          </w:tcPr>
          <w:p>
            <w:pPr>
              <w:spacing w:after="0"/>
            </w:pPr>
            <w:r>
              <w:rPr>
                <w:b/>
                <w:color w:val="0A2540"/>
                <w:sz w:val="17"/>
              </w:rPr>
              <w:t>Top Customer Revenue</w:t>
            </w:r>
          </w:p>
        </w:tc>
        <w:tc>
          <w:tcPr>
            <w:tcW w:type="dxa" w:w="2592"/>
            <w:shd w:val="clear" w:color="auto" w:fill="FFFFFF"/>
            <w:tcMar>
              <w:top w:w="80" w:type="dxa"/>
              <w:bottom w:w="80" w:type="dxa"/>
              <w:left w:w="120" w:type="dxa"/>
              <w:right w:w="120" w:type="dxa"/>
            </w:tcMar>
          </w:tcPr>
          <w:p>
            <w:pPr>
              <w:spacing w:after="0"/>
            </w:pPr>
            <w:r>
              <w:rPr>
                <w:sz w:val="17"/>
              </w:rPr>
              <w:t>$10.52K</w:t>
            </w:r>
          </w:p>
        </w:tc>
        <w:tc>
          <w:tcPr>
            <w:tcW w:type="dxa" w:w="4464"/>
            <w:shd w:val="clear" w:color="auto" w:fill="FFFFFF"/>
            <w:tcMar>
              <w:top w:w="80" w:type="dxa"/>
              <w:bottom w:w="80" w:type="dxa"/>
              <w:left w:w="120" w:type="dxa"/>
              <w:right w:w="120" w:type="dxa"/>
            </w:tcMar>
          </w:tcPr>
          <w:p>
            <w:pPr>
              <w:spacing w:after="0"/>
            </w:pPr>
            <w:r>
              <w:rPr>
                <w:sz w:val="17"/>
              </w:rPr>
              <w:t>Maximum revenue generated by a single account</w:t>
            </w:r>
          </w:p>
        </w:tc>
      </w:tr>
      <w:tr>
        <w:tc>
          <w:tcPr>
            <w:tcW w:type="dxa" w:w="2880"/>
            <w:shd w:val="clear" w:color="auto" w:fill="F8FAFC"/>
            <w:tcMar>
              <w:top w:w="80" w:type="dxa"/>
              <w:bottom w:w="80" w:type="dxa"/>
              <w:left w:w="120" w:type="dxa"/>
              <w:right w:w="120" w:type="dxa"/>
            </w:tcMar>
          </w:tcPr>
          <w:p>
            <w:pPr>
              <w:spacing w:after="0"/>
            </w:pPr>
            <w:r>
              <w:rPr>
                <w:b/>
                <w:color w:val="0A2540"/>
                <w:sz w:val="17"/>
              </w:rPr>
              <w:t>Top Customer Net Profit</w:t>
            </w:r>
          </w:p>
        </w:tc>
        <w:tc>
          <w:tcPr>
            <w:tcW w:type="dxa" w:w="2592"/>
            <w:shd w:val="clear" w:color="auto" w:fill="F8FAFC"/>
            <w:tcMar>
              <w:top w:w="80" w:type="dxa"/>
              <w:bottom w:w="80" w:type="dxa"/>
              <w:left w:w="120" w:type="dxa"/>
              <w:right w:w="120" w:type="dxa"/>
            </w:tcMar>
          </w:tcPr>
          <w:p>
            <w:pPr>
              <w:spacing w:after="0"/>
            </w:pPr>
            <w:r>
              <w:rPr>
                <w:sz w:val="17"/>
              </w:rPr>
              <w:t>$2.44K (ID 2641)</w:t>
            </w:r>
          </w:p>
        </w:tc>
        <w:tc>
          <w:tcPr>
            <w:tcW w:type="dxa" w:w="4464"/>
            <w:shd w:val="clear" w:color="auto" w:fill="F8FAFC"/>
            <w:tcMar>
              <w:top w:w="80" w:type="dxa"/>
              <w:bottom w:w="80" w:type="dxa"/>
              <w:left w:w="120" w:type="dxa"/>
              <w:right w:w="120" w:type="dxa"/>
            </w:tcMar>
          </w:tcPr>
          <w:p>
            <w:pPr>
              <w:spacing w:after="0"/>
            </w:pPr>
            <w:r>
              <w:rPr>
                <w:sz w:val="17"/>
              </w:rPr>
              <w:t>Maximum net earnings derived from a single account</w:t>
            </w:r>
          </w:p>
        </w:tc>
      </w:tr>
      <w:tr>
        <w:tc>
          <w:tcPr>
            <w:tcW w:type="dxa" w:w="2880"/>
            <w:shd w:val="clear" w:color="auto" w:fill="FFFFFF"/>
            <w:tcMar>
              <w:top w:w="80" w:type="dxa"/>
              <w:bottom w:w="80" w:type="dxa"/>
              <w:left w:w="120" w:type="dxa"/>
              <w:right w:w="120" w:type="dxa"/>
            </w:tcMar>
          </w:tcPr>
          <w:p>
            <w:pPr>
              <w:spacing w:after="0"/>
            </w:pPr>
            <w:r>
              <w:rPr>
                <w:b/>
                <w:color w:val="0A2540"/>
                <w:sz w:val="17"/>
              </w:rPr>
              <w:t>Worst Loss Account</w:t>
            </w:r>
          </w:p>
        </w:tc>
        <w:tc>
          <w:tcPr>
            <w:tcW w:type="dxa" w:w="2592"/>
            <w:shd w:val="clear" w:color="auto" w:fill="FFFFFF"/>
            <w:tcMar>
              <w:top w:w="80" w:type="dxa"/>
              <w:bottom w:w="80" w:type="dxa"/>
              <w:left w:w="120" w:type="dxa"/>
              <w:right w:w="120" w:type="dxa"/>
            </w:tcMar>
          </w:tcPr>
          <w:p>
            <w:pPr>
              <w:spacing w:after="0"/>
            </w:pPr>
            <w:r>
              <w:rPr>
                <w:sz w:val="17"/>
              </w:rPr>
              <w:t>-$3.87K (ID 1428)</w:t>
            </w:r>
          </w:p>
        </w:tc>
        <w:tc>
          <w:tcPr>
            <w:tcW w:type="dxa" w:w="4464"/>
            <w:shd w:val="clear" w:color="auto" w:fill="FFFFFF"/>
            <w:tcMar>
              <w:top w:w="80" w:type="dxa"/>
              <w:bottom w:w="80" w:type="dxa"/>
              <w:left w:w="120" w:type="dxa"/>
              <w:right w:w="120" w:type="dxa"/>
            </w:tcMar>
          </w:tcPr>
          <w:p>
            <w:pPr>
              <w:spacing w:after="0"/>
            </w:pPr>
            <w:r>
              <w:rPr>
                <w:sz w:val="17"/>
              </w:rPr>
              <w:t>Maximum net financial deficit incurred by an account</w:t>
            </w:r>
          </w:p>
        </w:tc>
      </w:tr>
    </w:tbl>
    <w:p>
      <w:pPr>
        <w:spacing w:after="200"/>
      </w:pPr>
    </w:p>
    <w:p>
      <w:pPr>
        <w:keepNext/>
        <w:spacing w:before="320" w:after="120"/>
      </w:pPr>
      <w:r>
        <w:rPr>
          <w:rFonts w:ascii="Arial" w:hAnsi="Arial"/>
          <w:b/>
          <w:color w:val="0A2540"/>
          <w:sz w:val="26"/>
        </w:rPr>
        <w:t>4. GRANULAR DASHBOARD INSIGHTS &amp; VISUALIZATIONS</w:t>
      </w:r>
    </w:p>
    <w:p>
      <w:pPr>
        <w:keepNext/>
        <w:spacing w:before="240" w:after="80"/>
      </w:pPr>
      <w:r>
        <w:rPr>
          <w:rFonts w:ascii="Arial" w:hAnsi="Arial"/>
          <w:b/>
          <w:color w:val="00A8B5"/>
          <w:sz w:val="22"/>
        </w:rPr>
        <w:t>4.1 Regional Sales &amp; Profit Overview</w:t>
      </w:r>
    </w:p>
    <w:p>
      <w:r>
        <w:drawing>
          <wp:inline xmlns:a="http://schemas.openxmlformats.org/drawingml/2006/main" xmlns:pic="http://schemas.openxmlformats.org/drawingml/2006/picture">
            <wp:extent cx="6217920" cy="3324771"/>
            <wp:docPr id="1" name="Picture 1"/>
            <wp:cNvGraphicFramePr>
              <a:graphicFrameLocks noChangeAspect="1"/>
            </wp:cNvGraphicFramePr>
            <a:graphic>
              <a:graphicData uri="http://schemas.openxmlformats.org/drawingml/2006/picture">
                <pic:pic>
                  <pic:nvPicPr>
                    <pic:cNvPr id="0" name="regional_performance.png"/>
                    <pic:cNvPicPr/>
                  </pic:nvPicPr>
                  <pic:blipFill>
                    <a:blip r:embed="rId9"/>
                    <a:stretch>
                      <a:fillRect/>
                    </a:stretch>
                  </pic:blipFill>
                  <pic:spPr>
                    <a:xfrm>
                      <a:off x="0" y="0"/>
                      <a:ext cx="6217920" cy="3324771"/>
                    </a:xfrm>
                    <a:prstGeom prst="rect"/>
                  </pic:spPr>
                </pic:pic>
              </a:graphicData>
            </a:graphic>
          </wp:inline>
        </w:drawing>
      </w:r>
    </w:p>
    <w:p>
      <w:pPr>
        <w:spacing w:after="160"/>
        <w:jc w:val="center"/>
      </w:pPr>
      <w:r>
        <w:rPr>
          <w:i/>
          <w:sz w:val="16"/>
        </w:rPr>
        <w:t>Figure 1: Regional Sales &amp; Profit Performance across 10 Operating Territories.</w:t>
      </w:r>
    </w:p>
    <w:p>
      <w:pPr>
        <w:keepNext/>
        <w:spacing w:before="240" w:after="80"/>
      </w:pPr>
      <w:r>
        <w:rPr>
          <w:rFonts w:ascii="Arial" w:hAnsi="Arial"/>
          <w:b/>
          <w:color w:val="00A8B5"/>
          <w:sz w:val="22"/>
        </w:rPr>
        <w:t>4.2 Shipping Lead Time &amp; Day 1 Bottleneck</w:t>
      </w:r>
    </w:p>
    <w:p>
      <w:r>
        <w:drawing>
          <wp:inline xmlns:a="http://schemas.openxmlformats.org/drawingml/2006/main" xmlns:pic="http://schemas.openxmlformats.org/drawingml/2006/picture">
            <wp:extent cx="6217920" cy="2988698"/>
            <wp:docPr id="2" name="Picture 2"/>
            <wp:cNvGraphicFramePr>
              <a:graphicFrameLocks noChangeAspect="1"/>
            </wp:cNvGraphicFramePr>
            <a:graphic>
              <a:graphicData uri="http://schemas.openxmlformats.org/drawingml/2006/picture">
                <pic:pic>
                  <pic:nvPicPr>
                    <pic:cNvPr id="0" name="shipping_margin_dip.png"/>
                    <pic:cNvPicPr/>
                  </pic:nvPicPr>
                  <pic:blipFill>
                    <a:blip r:embed="rId10"/>
                    <a:stretch>
                      <a:fillRect/>
                    </a:stretch>
                  </pic:blipFill>
                  <pic:spPr>
                    <a:xfrm>
                      <a:off x="0" y="0"/>
                      <a:ext cx="6217920" cy="2988698"/>
                    </a:xfrm>
                    <a:prstGeom prst="rect"/>
                  </pic:spPr>
                </pic:pic>
              </a:graphicData>
            </a:graphic>
          </wp:inline>
        </w:drawing>
      </w:r>
    </w:p>
    <w:p>
      <w:pPr>
        <w:spacing w:after="160"/>
        <w:jc w:val="center"/>
      </w:pPr>
      <w:r>
        <w:rPr>
          <w:i/>
          <w:sz w:val="16"/>
        </w:rPr>
        <w:t>Figure 2: Shipping Lead Time vs. Net Profit Margin % (Highlighting Day 1 Rush Freight Dip).</w:t>
      </w:r>
    </w:p>
    <w:p>
      <w:pPr>
        <w:keepNext/>
        <w:spacing w:before="240" w:after="80"/>
      </w:pPr>
      <w:r>
        <w:rPr>
          <w:rFonts w:ascii="Arial" w:hAnsi="Arial"/>
          <w:b/>
          <w:color w:val="00A8B5"/>
          <w:sz w:val="22"/>
        </w:rPr>
        <w:t>4.3 Account Profitability Extremes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val="clear" w:color="auto" w:fill="0A2540"/>
            <w:tcMar>
              <w:top w:w="100" w:type="dxa"/>
              <w:bottom w:w="100" w:type="dxa"/>
              <w:left w:w="100" w:type="dxa"/>
              <w:right w:w="100" w:type="dxa"/>
            </w:tcMar>
          </w:tcPr>
          <w:p>
            <w:pPr>
              <w:spacing w:after="0"/>
            </w:pPr>
            <w:r>
              <w:rPr>
                <w:b/>
                <w:color w:val="FFFFFF"/>
                <w:sz w:val="17"/>
              </w:rPr>
              <w:t>Top 5 Profitable Accounts</w:t>
            </w:r>
          </w:p>
        </w:tc>
        <w:tc>
          <w:tcPr>
            <w:tcW w:type="dxa" w:w="1872"/>
            <w:shd w:val="clear" w:color="auto" w:fill="0A2540"/>
            <w:tcMar>
              <w:top w:w="100" w:type="dxa"/>
              <w:bottom w:w="100" w:type="dxa"/>
              <w:left w:w="100" w:type="dxa"/>
              <w:right w:w="100" w:type="dxa"/>
            </w:tcMar>
          </w:tcPr>
          <w:p>
            <w:pPr>
              <w:spacing w:after="0"/>
            </w:pPr>
            <w:r>
              <w:rPr>
                <w:b/>
                <w:color w:val="FFFFFF"/>
                <w:sz w:val="17"/>
              </w:rPr>
              <w:t>Net Profit</w:t>
            </w:r>
          </w:p>
        </w:tc>
        <w:tc>
          <w:tcPr>
            <w:tcW w:type="dxa" w:w="3024"/>
            <w:shd w:val="clear" w:color="auto" w:fill="0A2540"/>
            <w:tcMar>
              <w:top w:w="100" w:type="dxa"/>
              <w:bottom w:w="100" w:type="dxa"/>
              <w:left w:w="100" w:type="dxa"/>
              <w:right w:w="100" w:type="dxa"/>
            </w:tcMar>
          </w:tcPr>
          <w:p>
            <w:pPr>
              <w:spacing w:after="0"/>
            </w:pPr>
            <w:r>
              <w:rPr>
                <w:b/>
                <w:color w:val="FFFFFF"/>
                <w:sz w:val="17"/>
              </w:rPr>
              <w:t>Bottom 5 Loss Accounts</w:t>
            </w:r>
          </w:p>
        </w:tc>
        <w:tc>
          <w:tcPr>
            <w:tcW w:type="dxa" w:w="2016"/>
            <w:shd w:val="clear" w:color="auto" w:fill="0A2540"/>
            <w:tcMar>
              <w:top w:w="100" w:type="dxa"/>
              <w:bottom w:w="100" w:type="dxa"/>
              <w:left w:w="100" w:type="dxa"/>
              <w:right w:w="100" w:type="dxa"/>
            </w:tcMar>
          </w:tcPr>
          <w:p>
            <w:pPr>
              <w:spacing w:after="0"/>
            </w:pPr>
            <w:r>
              <w:rPr>
                <w:b/>
                <w:color w:val="FFFFFF"/>
                <w:sz w:val="17"/>
              </w:rPr>
              <w:t>Net Deficit</w:t>
            </w:r>
          </w:p>
        </w:tc>
      </w:tr>
      <w:tr>
        <w:tc>
          <w:tcPr>
            <w:tcW w:type="dxa" w:w="3024"/>
            <w:shd w:val="clear" w:color="auto" w:fill="FFFFFF"/>
            <w:tcMar>
              <w:top w:w="80" w:type="dxa"/>
              <w:bottom w:w="80" w:type="dxa"/>
              <w:left w:w="100" w:type="dxa"/>
              <w:right w:w="100" w:type="dxa"/>
            </w:tcMar>
          </w:tcPr>
          <w:p>
            <w:pPr>
              <w:spacing w:after="0"/>
            </w:pPr>
            <w:r>
              <w:rPr>
                <w:b/>
                <w:sz w:val="17"/>
              </w:rPr>
              <w:t>Account ID 2641</w:t>
            </w:r>
          </w:p>
        </w:tc>
        <w:tc>
          <w:tcPr>
            <w:tcW w:type="dxa" w:w="1872"/>
            <w:shd w:val="clear" w:color="auto" w:fill="FFFFFF"/>
            <w:tcMar>
              <w:top w:w="80" w:type="dxa"/>
              <w:bottom w:w="80" w:type="dxa"/>
              <w:left w:w="100" w:type="dxa"/>
              <w:right w:w="100" w:type="dxa"/>
            </w:tcMar>
          </w:tcPr>
          <w:p>
            <w:pPr>
              <w:spacing w:after="0"/>
            </w:pPr>
            <w:r>
              <w:rPr>
                <w:sz w:val="17"/>
              </w:rPr>
              <w:t>+$2,440.00</w:t>
            </w:r>
          </w:p>
        </w:tc>
        <w:tc>
          <w:tcPr>
            <w:tcW w:type="dxa" w:w="3024"/>
            <w:shd w:val="clear" w:color="auto" w:fill="FFFFFF"/>
            <w:tcMar>
              <w:top w:w="80" w:type="dxa"/>
              <w:bottom w:w="80" w:type="dxa"/>
              <w:left w:w="100" w:type="dxa"/>
              <w:right w:w="100" w:type="dxa"/>
            </w:tcMar>
          </w:tcPr>
          <w:p>
            <w:pPr>
              <w:spacing w:after="0"/>
            </w:pPr>
            <w:r>
              <w:rPr>
                <w:b/>
                <w:sz w:val="17"/>
              </w:rPr>
              <w:t>Account ID 1428</w:t>
            </w:r>
          </w:p>
        </w:tc>
        <w:tc>
          <w:tcPr>
            <w:tcW w:type="dxa" w:w="2016"/>
            <w:shd w:val="clear" w:color="auto" w:fill="FFFFFF"/>
            <w:tcMar>
              <w:top w:w="80" w:type="dxa"/>
              <w:bottom w:w="80" w:type="dxa"/>
              <w:left w:w="100" w:type="dxa"/>
              <w:right w:w="100" w:type="dxa"/>
            </w:tcMar>
          </w:tcPr>
          <w:p>
            <w:pPr>
              <w:spacing w:after="0"/>
            </w:pPr>
            <w:r>
              <w:rPr>
                <w:color w:val="E53E3E"/>
                <w:sz w:val="17"/>
              </w:rPr>
              <w:t>-$3,870.00</w:t>
            </w:r>
          </w:p>
        </w:tc>
      </w:tr>
      <w:tr>
        <w:tc>
          <w:tcPr>
            <w:tcW w:type="dxa" w:w="3024"/>
            <w:shd w:val="clear" w:color="auto" w:fill="F8FAFC"/>
            <w:tcMar>
              <w:top w:w="80" w:type="dxa"/>
              <w:bottom w:w="80" w:type="dxa"/>
              <w:left w:w="100" w:type="dxa"/>
              <w:right w:w="100" w:type="dxa"/>
            </w:tcMar>
          </w:tcPr>
          <w:p>
            <w:pPr>
              <w:spacing w:after="0"/>
            </w:pPr>
            <w:r>
              <w:rPr>
                <w:b/>
                <w:sz w:val="17"/>
              </w:rPr>
              <w:t>Account ID 1657</w:t>
            </w:r>
          </w:p>
        </w:tc>
        <w:tc>
          <w:tcPr>
            <w:tcW w:type="dxa" w:w="1872"/>
            <w:shd w:val="clear" w:color="auto" w:fill="F8FAFC"/>
            <w:tcMar>
              <w:top w:w="80" w:type="dxa"/>
              <w:bottom w:w="80" w:type="dxa"/>
              <w:left w:w="100" w:type="dxa"/>
              <w:right w:w="100" w:type="dxa"/>
            </w:tcMar>
          </w:tcPr>
          <w:p>
            <w:pPr>
              <w:spacing w:after="0"/>
            </w:pPr>
            <w:r>
              <w:rPr>
                <w:sz w:val="17"/>
              </w:rPr>
              <w:t>+$2,210.00</w:t>
            </w:r>
          </w:p>
        </w:tc>
        <w:tc>
          <w:tcPr>
            <w:tcW w:type="dxa" w:w="3024"/>
            <w:shd w:val="clear" w:color="auto" w:fill="F8FAFC"/>
            <w:tcMar>
              <w:top w:w="80" w:type="dxa"/>
              <w:bottom w:w="80" w:type="dxa"/>
              <w:left w:w="100" w:type="dxa"/>
              <w:right w:w="100" w:type="dxa"/>
            </w:tcMar>
          </w:tcPr>
          <w:p>
            <w:pPr>
              <w:spacing w:after="0"/>
            </w:pPr>
            <w:r>
              <w:rPr>
                <w:b/>
                <w:sz w:val="17"/>
              </w:rPr>
              <w:t>Account ID 14086</w:t>
            </w:r>
          </w:p>
        </w:tc>
        <w:tc>
          <w:tcPr>
            <w:tcW w:type="dxa" w:w="2016"/>
            <w:shd w:val="clear" w:color="auto" w:fill="F8FAFC"/>
            <w:tcMar>
              <w:top w:w="80" w:type="dxa"/>
              <w:bottom w:w="80" w:type="dxa"/>
              <w:left w:w="100" w:type="dxa"/>
              <w:right w:w="100" w:type="dxa"/>
            </w:tcMar>
          </w:tcPr>
          <w:p>
            <w:pPr>
              <w:spacing w:after="0"/>
            </w:pPr>
            <w:r>
              <w:rPr>
                <w:color w:val="E53E3E"/>
                <w:sz w:val="17"/>
              </w:rPr>
              <w:t>-$3,400.00</w:t>
            </w:r>
          </w:p>
        </w:tc>
      </w:tr>
      <w:tr>
        <w:tc>
          <w:tcPr>
            <w:tcW w:type="dxa" w:w="3024"/>
            <w:shd w:val="clear" w:color="auto" w:fill="FFFFFF"/>
            <w:tcMar>
              <w:top w:w="80" w:type="dxa"/>
              <w:bottom w:w="80" w:type="dxa"/>
              <w:left w:w="100" w:type="dxa"/>
              <w:right w:w="100" w:type="dxa"/>
            </w:tcMar>
          </w:tcPr>
          <w:p>
            <w:pPr>
              <w:spacing w:after="0"/>
            </w:pPr>
            <w:r>
              <w:rPr>
                <w:b/>
                <w:sz w:val="17"/>
              </w:rPr>
              <w:t>Account ID 9833</w:t>
            </w:r>
          </w:p>
        </w:tc>
        <w:tc>
          <w:tcPr>
            <w:tcW w:type="dxa" w:w="1872"/>
            <w:shd w:val="clear" w:color="auto" w:fill="FFFFFF"/>
            <w:tcMar>
              <w:top w:w="80" w:type="dxa"/>
              <w:bottom w:w="80" w:type="dxa"/>
              <w:left w:w="100" w:type="dxa"/>
              <w:right w:w="100" w:type="dxa"/>
            </w:tcMar>
          </w:tcPr>
          <w:p>
            <w:pPr>
              <w:spacing w:after="0"/>
            </w:pPr>
            <w:r>
              <w:rPr>
                <w:sz w:val="17"/>
              </w:rPr>
              <w:t>+$1,950.00</w:t>
            </w:r>
          </w:p>
        </w:tc>
        <w:tc>
          <w:tcPr>
            <w:tcW w:type="dxa" w:w="3024"/>
            <w:shd w:val="clear" w:color="auto" w:fill="FFFFFF"/>
            <w:tcMar>
              <w:top w:w="80" w:type="dxa"/>
              <w:bottom w:w="80" w:type="dxa"/>
              <w:left w:w="100" w:type="dxa"/>
              <w:right w:w="100" w:type="dxa"/>
            </w:tcMar>
          </w:tcPr>
          <w:p>
            <w:pPr>
              <w:spacing w:after="0"/>
            </w:pPr>
            <w:r>
              <w:rPr>
                <w:b/>
                <w:sz w:val="17"/>
              </w:rPr>
              <w:t>Account ID 18109</w:t>
            </w:r>
          </w:p>
        </w:tc>
        <w:tc>
          <w:tcPr>
            <w:tcW w:type="dxa" w:w="2016"/>
            <w:shd w:val="clear" w:color="auto" w:fill="FFFFFF"/>
            <w:tcMar>
              <w:top w:w="80" w:type="dxa"/>
              <w:bottom w:w="80" w:type="dxa"/>
              <w:left w:w="100" w:type="dxa"/>
              <w:right w:w="100" w:type="dxa"/>
            </w:tcMar>
          </w:tcPr>
          <w:p>
            <w:pPr>
              <w:spacing w:after="0"/>
            </w:pPr>
            <w:r>
              <w:rPr>
                <w:color w:val="E53E3E"/>
                <w:sz w:val="17"/>
              </w:rPr>
              <w:t>-$3,400.00</w:t>
            </w:r>
          </w:p>
        </w:tc>
      </w:tr>
      <w:tr>
        <w:tc>
          <w:tcPr>
            <w:tcW w:type="dxa" w:w="3024"/>
            <w:shd w:val="clear" w:color="auto" w:fill="F8FAFC"/>
            <w:tcMar>
              <w:top w:w="80" w:type="dxa"/>
              <w:bottom w:w="80" w:type="dxa"/>
              <w:left w:w="100" w:type="dxa"/>
              <w:right w:w="100" w:type="dxa"/>
            </w:tcMar>
          </w:tcPr>
          <w:p>
            <w:pPr>
              <w:spacing w:after="0"/>
            </w:pPr>
            <w:r>
              <w:rPr>
                <w:b/>
                <w:sz w:val="17"/>
              </w:rPr>
              <w:t>Account ID 2626</w:t>
            </w:r>
          </w:p>
        </w:tc>
        <w:tc>
          <w:tcPr>
            <w:tcW w:type="dxa" w:w="1872"/>
            <w:shd w:val="clear" w:color="auto" w:fill="F8FAFC"/>
            <w:tcMar>
              <w:top w:w="80" w:type="dxa"/>
              <w:bottom w:w="80" w:type="dxa"/>
              <w:left w:w="100" w:type="dxa"/>
              <w:right w:w="100" w:type="dxa"/>
            </w:tcMar>
          </w:tcPr>
          <w:p>
            <w:pPr>
              <w:spacing w:after="0"/>
            </w:pPr>
            <w:r>
              <w:rPr>
                <w:sz w:val="17"/>
              </w:rPr>
              <w:t>+$1,910.00</w:t>
            </w:r>
          </w:p>
        </w:tc>
        <w:tc>
          <w:tcPr>
            <w:tcW w:type="dxa" w:w="3024"/>
            <w:shd w:val="clear" w:color="auto" w:fill="F8FAFC"/>
            <w:tcMar>
              <w:top w:w="80" w:type="dxa"/>
              <w:bottom w:w="80" w:type="dxa"/>
              <w:left w:w="100" w:type="dxa"/>
              <w:right w:w="100" w:type="dxa"/>
            </w:tcMar>
          </w:tcPr>
          <w:p>
            <w:pPr>
              <w:spacing w:after="0"/>
            </w:pPr>
            <w:r>
              <w:rPr>
                <w:b/>
                <w:sz w:val="17"/>
              </w:rPr>
              <w:t>Account ID 14313</w:t>
            </w:r>
          </w:p>
        </w:tc>
        <w:tc>
          <w:tcPr>
            <w:tcW w:type="dxa" w:w="2016"/>
            <w:shd w:val="clear" w:color="auto" w:fill="F8FAFC"/>
            <w:tcMar>
              <w:top w:w="80" w:type="dxa"/>
              <w:bottom w:w="80" w:type="dxa"/>
              <w:left w:w="100" w:type="dxa"/>
              <w:right w:w="100" w:type="dxa"/>
            </w:tcMar>
          </w:tcPr>
          <w:p>
            <w:pPr>
              <w:spacing w:after="0"/>
            </w:pPr>
            <w:r>
              <w:rPr>
                <w:color w:val="E53E3E"/>
                <w:sz w:val="17"/>
              </w:rPr>
              <w:t>-$3,020.00</w:t>
            </w:r>
          </w:p>
        </w:tc>
      </w:tr>
      <w:tr>
        <w:tc>
          <w:tcPr>
            <w:tcW w:type="dxa" w:w="3024"/>
            <w:shd w:val="clear" w:color="auto" w:fill="FFFFFF"/>
            <w:tcMar>
              <w:top w:w="80" w:type="dxa"/>
              <w:bottom w:w="80" w:type="dxa"/>
              <w:left w:w="100" w:type="dxa"/>
              <w:right w:w="100" w:type="dxa"/>
            </w:tcMar>
          </w:tcPr>
          <w:p>
            <w:pPr>
              <w:spacing w:after="0"/>
            </w:pPr>
            <w:r>
              <w:rPr>
                <w:b/>
                <w:sz w:val="17"/>
              </w:rPr>
              <w:t>Account ID 5004</w:t>
            </w:r>
          </w:p>
        </w:tc>
        <w:tc>
          <w:tcPr>
            <w:tcW w:type="dxa" w:w="1872"/>
            <w:shd w:val="clear" w:color="auto" w:fill="FFFFFF"/>
            <w:tcMar>
              <w:top w:w="80" w:type="dxa"/>
              <w:bottom w:w="80" w:type="dxa"/>
              <w:left w:w="100" w:type="dxa"/>
              <w:right w:w="100" w:type="dxa"/>
            </w:tcMar>
          </w:tcPr>
          <w:p>
            <w:pPr>
              <w:spacing w:after="0"/>
            </w:pPr>
            <w:r>
              <w:rPr>
                <w:sz w:val="17"/>
              </w:rPr>
              <w:t>+$1,880.00</w:t>
            </w:r>
          </w:p>
        </w:tc>
        <w:tc>
          <w:tcPr>
            <w:tcW w:type="dxa" w:w="3024"/>
            <w:shd w:val="clear" w:color="auto" w:fill="FFFFFF"/>
            <w:tcMar>
              <w:top w:w="80" w:type="dxa"/>
              <w:bottom w:w="80" w:type="dxa"/>
              <w:left w:w="100" w:type="dxa"/>
              <w:right w:w="100" w:type="dxa"/>
            </w:tcMar>
          </w:tcPr>
          <w:p>
            <w:pPr>
              <w:spacing w:after="0"/>
            </w:pPr>
            <w:r>
              <w:rPr>
                <w:b/>
                <w:sz w:val="17"/>
              </w:rPr>
              <w:t>Account ID 7211</w:t>
            </w:r>
          </w:p>
        </w:tc>
        <w:tc>
          <w:tcPr>
            <w:tcW w:type="dxa" w:w="2016"/>
            <w:shd w:val="clear" w:color="auto" w:fill="FFFFFF"/>
            <w:tcMar>
              <w:top w:w="80" w:type="dxa"/>
              <w:bottom w:w="80" w:type="dxa"/>
              <w:left w:w="100" w:type="dxa"/>
              <w:right w:w="100" w:type="dxa"/>
            </w:tcMar>
          </w:tcPr>
          <w:p>
            <w:pPr>
              <w:spacing w:after="0"/>
            </w:pPr>
            <w:r>
              <w:rPr>
                <w:color w:val="E53E3E"/>
                <w:sz w:val="17"/>
              </w:rPr>
              <w:t>-$2,850.00</w:t>
            </w:r>
          </w:p>
        </w:tc>
      </w:tr>
    </w:tbl>
    <w:p>
      <w:pPr>
        <w:spacing w:after="160"/>
      </w:pPr>
    </w:p>
    <w:p>
      <w:pPr>
        <w:keepNext/>
        <w:spacing w:before="240" w:after="80"/>
      </w:pPr>
      <w:r>
        <w:rPr>
          <w:rFonts w:ascii="Arial" w:hAnsi="Arial"/>
          <w:b/>
          <w:color w:val="00A8B5"/>
          <w:sz w:val="22"/>
        </w:rPr>
        <w:t>4.4 Category Net Profit Rankings</w:t>
      </w:r>
    </w:p>
    <w:p>
      <w:r>
        <w:drawing>
          <wp:inline xmlns:a="http://schemas.openxmlformats.org/drawingml/2006/main" xmlns:pic="http://schemas.openxmlformats.org/drawingml/2006/picture">
            <wp:extent cx="6217920" cy="2989934"/>
            <wp:docPr id="3" name="Picture 3"/>
            <wp:cNvGraphicFramePr>
              <a:graphicFrameLocks noChangeAspect="1"/>
            </wp:cNvGraphicFramePr>
            <a:graphic>
              <a:graphicData uri="http://schemas.openxmlformats.org/drawingml/2006/picture">
                <pic:pic>
                  <pic:nvPicPr>
                    <pic:cNvPr id="0" name="category_profitability.png"/>
                    <pic:cNvPicPr/>
                  </pic:nvPicPr>
                  <pic:blipFill>
                    <a:blip r:embed="rId11"/>
                    <a:stretch>
                      <a:fillRect/>
                    </a:stretch>
                  </pic:blipFill>
                  <pic:spPr>
                    <a:xfrm>
                      <a:off x="0" y="0"/>
                      <a:ext cx="6217920" cy="2989934"/>
                    </a:xfrm>
                    <a:prstGeom prst="rect"/>
                  </pic:spPr>
                </pic:pic>
              </a:graphicData>
            </a:graphic>
          </wp:inline>
        </w:drawing>
      </w:r>
    </w:p>
    <w:p>
      <w:pPr>
        <w:spacing w:after="160"/>
        <w:jc w:val="center"/>
      </w:pPr>
      <w:r>
        <w:rPr>
          <w:i/>
          <w:sz w:val="16"/>
        </w:rPr>
        <w:t>Figure 3: Category Net Profit Rankings across Key Product Lines.</w:t>
      </w:r>
    </w:p>
    <w:p>
      <w:pPr>
        <w:keepNext/>
        <w:spacing w:before="240" w:after="80"/>
      </w:pPr>
      <w:r>
        <w:rPr>
          <w:rFonts w:ascii="Arial" w:hAnsi="Arial"/>
          <w:b/>
          <w:color w:val="00A8B5"/>
          <w:sz w:val="22"/>
        </w:rPr>
        <w:t>4.5 Discount Sensitivity &amp; Margin Compression</w:t>
      </w:r>
    </w:p>
    <w:p>
      <w:r>
        <w:drawing>
          <wp:inline xmlns:a="http://schemas.openxmlformats.org/drawingml/2006/main" xmlns:pic="http://schemas.openxmlformats.org/drawingml/2006/picture">
            <wp:extent cx="6217920" cy="2988698"/>
            <wp:docPr id="4" name="Picture 4"/>
            <wp:cNvGraphicFramePr>
              <a:graphicFrameLocks noChangeAspect="1"/>
            </wp:cNvGraphicFramePr>
            <a:graphic>
              <a:graphicData uri="http://schemas.openxmlformats.org/drawingml/2006/picture">
                <pic:pic>
                  <pic:nvPicPr>
                    <pic:cNvPr id="0" name="discount_impact.png"/>
                    <pic:cNvPicPr/>
                  </pic:nvPicPr>
                  <pic:blipFill>
                    <a:blip r:embed="rId12"/>
                    <a:stretch>
                      <a:fillRect/>
                    </a:stretch>
                  </pic:blipFill>
                  <pic:spPr>
                    <a:xfrm>
                      <a:off x="0" y="0"/>
                      <a:ext cx="6217920" cy="2988698"/>
                    </a:xfrm>
                    <a:prstGeom prst="rect"/>
                  </pic:spPr>
                </pic:pic>
              </a:graphicData>
            </a:graphic>
          </wp:inline>
        </w:drawing>
      </w:r>
    </w:p>
    <w:p>
      <w:pPr>
        <w:spacing w:after="160"/>
        <w:jc w:val="center"/>
      </w:pPr>
      <w:r>
        <w:rPr>
          <w:i/>
          <w:sz w:val="16"/>
        </w:rPr>
        <w:t>Figure 4: Discount Band Sensitivity — Volume vs. Margin Compression.</w:t>
      </w:r>
    </w:p>
    <w:p>
      <w:pPr>
        <w:keepNext/>
        <w:spacing w:before="320" w:after="120"/>
      </w:pPr>
      <w:r>
        <w:rPr>
          <w:rFonts w:ascii="Arial" w:hAnsi="Arial"/>
          <w:b/>
          <w:color w:val="0A2540"/>
          <w:sz w:val="26"/>
        </w:rPr>
        <w:t>5. STRATEGIC ACTION MATRIX: QUICK WINS VS. LONG-TERM STRATEGY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val="clear" w:color="auto" w:fill="0A2540"/>
            <w:tcMar>
              <w:top w:w="100" w:type="dxa"/>
              <w:bottom w:w="100" w:type="dxa"/>
              <w:left w:w="100" w:type="dxa"/>
              <w:right w:w="100" w:type="dxa"/>
            </w:tcMar>
          </w:tcPr>
          <w:p>
            <w:pPr>
              <w:spacing w:after="0"/>
            </w:pPr>
            <w:r>
              <w:rPr>
                <w:b/>
                <w:color w:val="FFFFFF"/>
                <w:sz w:val="17"/>
              </w:rPr>
              <w:t>Implementation Horizon</w:t>
            </w:r>
          </w:p>
        </w:tc>
        <w:tc>
          <w:tcPr>
            <w:tcW w:type="dxa" w:w="2592"/>
            <w:shd w:val="clear" w:color="auto" w:fill="0A2540"/>
            <w:tcMar>
              <w:top w:w="100" w:type="dxa"/>
              <w:bottom w:w="100" w:type="dxa"/>
              <w:left w:w="100" w:type="dxa"/>
              <w:right w:w="100" w:type="dxa"/>
            </w:tcMar>
          </w:tcPr>
          <w:p>
            <w:pPr>
              <w:spacing w:after="0"/>
            </w:pPr>
            <w:r>
              <w:rPr>
                <w:b/>
                <w:color w:val="FFFFFF"/>
                <w:sz w:val="17"/>
              </w:rPr>
              <w:t>Strategic Initiative</w:t>
            </w:r>
          </w:p>
        </w:tc>
        <w:tc>
          <w:tcPr>
            <w:tcW w:type="dxa" w:w="3168"/>
            <w:shd w:val="clear" w:color="auto" w:fill="0A2540"/>
            <w:tcMar>
              <w:top w:w="100" w:type="dxa"/>
              <w:bottom w:w="100" w:type="dxa"/>
              <w:left w:w="100" w:type="dxa"/>
              <w:right w:w="100" w:type="dxa"/>
            </w:tcMar>
          </w:tcPr>
          <w:p>
            <w:pPr>
              <w:spacing w:after="0"/>
            </w:pPr>
            <w:r>
              <w:rPr>
                <w:b/>
                <w:color w:val="FFFFFF"/>
                <w:sz w:val="17"/>
              </w:rPr>
              <w:t>Operational Action &amp; Metric Target</w:t>
            </w:r>
          </w:p>
        </w:tc>
        <w:tc>
          <w:tcPr>
            <w:tcW w:type="dxa" w:w="1872"/>
            <w:shd w:val="clear" w:color="auto" w:fill="0A2540"/>
            <w:tcMar>
              <w:top w:w="100" w:type="dxa"/>
              <w:bottom w:w="100" w:type="dxa"/>
              <w:left w:w="100" w:type="dxa"/>
              <w:right w:w="100" w:type="dxa"/>
            </w:tcMar>
          </w:tcPr>
          <w:p>
            <w:pPr>
              <w:spacing w:after="0"/>
            </w:pPr>
            <w:r>
              <w:rPr>
                <w:b/>
                <w:color w:val="FFFFFF"/>
                <w:sz w:val="17"/>
              </w:rPr>
              <w:t>Projected Impact</w:t>
            </w:r>
          </w:p>
        </w:tc>
      </w:tr>
      <w:tr>
        <w:tc>
          <w:tcPr>
            <w:tcW w:type="dxa" w:w="2304"/>
            <w:shd w:val="clear" w:color="auto" w:fill="FFFFFF"/>
            <w:tcMar>
              <w:top w:w="80" w:type="dxa"/>
              <w:bottom w:w="80" w:type="dxa"/>
              <w:left w:w="100" w:type="dxa"/>
              <w:right w:w="100" w:type="dxa"/>
            </w:tcMar>
          </w:tcPr>
          <w:p>
            <w:pPr>
              <w:spacing w:after="0"/>
            </w:pPr>
            <w:r>
              <w:rPr>
                <w:b/>
                <w:color w:val="2F855A"/>
                <w:sz w:val="17"/>
              </w:rPr>
              <w:t>QUICK WINS (0–90 Days)</w:t>
            </w:r>
          </w:p>
        </w:tc>
        <w:tc>
          <w:tcPr>
            <w:tcW w:type="dxa" w:w="2592"/>
            <w:shd w:val="clear" w:color="auto" w:fill="FFFFFF"/>
            <w:tcMar>
              <w:top w:w="80" w:type="dxa"/>
              <w:bottom w:w="80" w:type="dxa"/>
              <w:left w:w="100" w:type="dxa"/>
              <w:right w:w="100" w:type="dxa"/>
            </w:tcMar>
          </w:tcPr>
          <w:p>
            <w:pPr>
              <w:spacing w:after="0"/>
            </w:pPr>
            <w:r>
              <w:rPr>
                <w:b/>
                <w:sz w:val="17"/>
              </w:rPr>
              <w:t>ERP Hard Cap on Discounts</w:t>
            </w:r>
          </w:p>
        </w:tc>
        <w:tc>
          <w:tcPr>
            <w:tcW w:type="dxa" w:w="3168"/>
            <w:shd w:val="clear" w:color="auto" w:fill="FFFFFF"/>
            <w:tcMar>
              <w:top w:w="80" w:type="dxa"/>
              <w:bottom w:w="80" w:type="dxa"/>
              <w:left w:w="100" w:type="dxa"/>
              <w:right w:w="100" w:type="dxa"/>
            </w:tcMar>
          </w:tcPr>
          <w:p>
            <w:pPr>
              <w:spacing w:after="0"/>
            </w:pPr>
            <w:r>
              <w:rPr>
                <w:sz w:val="17"/>
              </w:rPr>
              <w:t>Implement mandatory ERP approval workflows for any promotional price cuts exceeding 10%.</w:t>
            </w:r>
          </w:p>
        </w:tc>
        <w:tc>
          <w:tcPr>
            <w:tcW w:type="dxa" w:w="1872"/>
            <w:shd w:val="clear" w:color="auto" w:fill="FFFFFF"/>
            <w:tcMar>
              <w:top w:w="80" w:type="dxa"/>
              <w:bottom w:w="80" w:type="dxa"/>
              <w:left w:w="100" w:type="dxa"/>
              <w:right w:w="100" w:type="dxa"/>
            </w:tcMar>
          </w:tcPr>
          <w:p>
            <w:pPr>
              <w:spacing w:after="0"/>
            </w:pPr>
            <w:r>
              <w:rPr>
                <w:sz w:val="17"/>
              </w:rPr>
              <w:t>+$450K Margin Recovery</w:t>
            </w:r>
          </w:p>
        </w:tc>
      </w:tr>
      <w:tr>
        <w:tc>
          <w:tcPr>
            <w:tcW w:type="dxa" w:w="2304"/>
            <w:shd w:val="clear" w:color="auto" w:fill="F8FAFC"/>
            <w:tcMar>
              <w:top w:w="80" w:type="dxa"/>
              <w:bottom w:w="80" w:type="dxa"/>
              <w:left w:w="100" w:type="dxa"/>
              <w:right w:w="100" w:type="dxa"/>
            </w:tcMar>
          </w:tcPr>
          <w:p>
            <w:pPr>
              <w:spacing w:after="0"/>
            </w:pPr>
            <w:r>
              <w:rPr>
                <w:b/>
                <w:color w:val="2F855A"/>
                <w:sz w:val="17"/>
              </w:rPr>
              <w:t>QUICK WINS (0–90 Days)</w:t>
            </w:r>
          </w:p>
        </w:tc>
        <w:tc>
          <w:tcPr>
            <w:tcW w:type="dxa" w:w="2592"/>
            <w:shd w:val="clear" w:color="auto" w:fill="F8FAFC"/>
            <w:tcMar>
              <w:top w:w="80" w:type="dxa"/>
              <w:bottom w:w="80" w:type="dxa"/>
              <w:left w:w="100" w:type="dxa"/>
              <w:right w:w="100" w:type="dxa"/>
            </w:tcMar>
          </w:tcPr>
          <w:p>
            <w:pPr>
              <w:spacing w:after="0"/>
            </w:pPr>
            <w:r>
              <w:rPr>
                <w:b/>
                <w:sz w:val="17"/>
              </w:rPr>
              <w:t>Loss Account Re-Pricing</w:t>
            </w:r>
          </w:p>
        </w:tc>
        <w:tc>
          <w:tcPr>
            <w:tcW w:type="dxa" w:w="3168"/>
            <w:shd w:val="clear" w:color="auto" w:fill="F8FAFC"/>
            <w:tcMar>
              <w:top w:w="80" w:type="dxa"/>
              <w:bottom w:w="80" w:type="dxa"/>
              <w:left w:w="100" w:type="dxa"/>
              <w:right w:w="100" w:type="dxa"/>
            </w:tcMar>
          </w:tcPr>
          <w:p>
            <w:pPr>
              <w:spacing w:after="0"/>
            </w:pPr>
            <w:r>
              <w:rPr>
                <w:sz w:val="17"/>
              </w:rPr>
              <w:t>Apply freight surcharges or minimum order sizes to top 10 deficit accounts (e.g., ID 1428).</w:t>
            </w:r>
          </w:p>
        </w:tc>
        <w:tc>
          <w:tcPr>
            <w:tcW w:type="dxa" w:w="1872"/>
            <w:shd w:val="clear" w:color="auto" w:fill="F8FAFC"/>
            <w:tcMar>
              <w:top w:w="80" w:type="dxa"/>
              <w:bottom w:w="80" w:type="dxa"/>
              <w:left w:w="100" w:type="dxa"/>
              <w:right w:w="100" w:type="dxa"/>
            </w:tcMar>
          </w:tcPr>
          <w:p>
            <w:pPr>
              <w:spacing w:after="0"/>
            </w:pPr>
            <w:r>
              <w:rPr>
                <w:sz w:val="17"/>
              </w:rPr>
              <w:t>+$180K Loss Elimination</w:t>
            </w:r>
          </w:p>
        </w:tc>
      </w:tr>
      <w:tr>
        <w:tc>
          <w:tcPr>
            <w:tcW w:type="dxa" w:w="2304"/>
            <w:shd w:val="clear" w:color="auto" w:fill="FFFFFF"/>
            <w:tcMar>
              <w:top w:w="80" w:type="dxa"/>
              <w:bottom w:w="80" w:type="dxa"/>
              <w:left w:w="100" w:type="dxa"/>
              <w:right w:w="100" w:type="dxa"/>
            </w:tcMar>
          </w:tcPr>
          <w:p>
            <w:pPr>
              <w:spacing w:after="0"/>
            </w:pPr>
            <w:r>
              <w:rPr>
                <w:b/>
                <w:color w:val="2F855A"/>
                <w:sz w:val="17"/>
              </w:rPr>
              <w:t>QUICK WINS (0–90 Days)</w:t>
            </w:r>
          </w:p>
        </w:tc>
        <w:tc>
          <w:tcPr>
            <w:tcW w:type="dxa" w:w="2592"/>
            <w:shd w:val="clear" w:color="auto" w:fill="FFFFFF"/>
            <w:tcMar>
              <w:top w:w="80" w:type="dxa"/>
              <w:bottom w:w="80" w:type="dxa"/>
              <w:left w:w="100" w:type="dxa"/>
              <w:right w:w="100" w:type="dxa"/>
            </w:tcMar>
          </w:tcPr>
          <w:p>
            <w:pPr>
              <w:spacing w:after="0"/>
            </w:pPr>
            <w:r>
              <w:rPr>
                <w:b/>
                <w:sz w:val="17"/>
              </w:rPr>
              <w:t>Day 1 Dispatch Surcharge</w:t>
            </w:r>
          </w:p>
        </w:tc>
        <w:tc>
          <w:tcPr>
            <w:tcW w:type="dxa" w:w="3168"/>
            <w:shd w:val="clear" w:color="auto" w:fill="FFFFFF"/>
            <w:tcMar>
              <w:top w:w="80" w:type="dxa"/>
              <w:bottom w:w="80" w:type="dxa"/>
              <w:left w:w="100" w:type="dxa"/>
              <w:right w:w="100" w:type="dxa"/>
            </w:tcMar>
          </w:tcPr>
          <w:p>
            <w:pPr>
              <w:spacing w:after="0"/>
            </w:pPr>
            <w:r>
              <w:rPr>
                <w:sz w:val="17"/>
              </w:rPr>
              <w:t>Introduce expediting fees for 1-day turnaround orders to cover emergency labor costs.</w:t>
            </w:r>
          </w:p>
        </w:tc>
        <w:tc>
          <w:tcPr>
            <w:tcW w:type="dxa" w:w="1872"/>
            <w:shd w:val="clear" w:color="auto" w:fill="FFFFFF"/>
            <w:tcMar>
              <w:top w:w="80" w:type="dxa"/>
              <w:bottom w:w="80" w:type="dxa"/>
              <w:left w:w="100" w:type="dxa"/>
              <w:right w:w="100" w:type="dxa"/>
            </w:tcMar>
          </w:tcPr>
          <w:p>
            <w:pPr>
              <w:spacing w:after="0"/>
            </w:pPr>
            <w:r>
              <w:rPr>
                <w:sz w:val="17"/>
              </w:rPr>
              <w:t>+$120K Cost Offset</w:t>
            </w:r>
          </w:p>
        </w:tc>
      </w:tr>
      <w:tr>
        <w:tc>
          <w:tcPr>
            <w:tcW w:type="dxa" w:w="2304"/>
            <w:shd w:val="clear" w:color="auto" w:fill="F8FAFC"/>
            <w:tcMar>
              <w:top w:w="80" w:type="dxa"/>
              <w:bottom w:w="80" w:type="dxa"/>
              <w:left w:w="100" w:type="dxa"/>
              <w:right w:w="100" w:type="dxa"/>
            </w:tcMar>
          </w:tcPr>
          <w:p>
            <w:pPr>
              <w:spacing w:after="0"/>
            </w:pPr>
            <w:r>
              <w:rPr>
                <w:b/>
                <w:color w:val="00A8B5"/>
                <w:sz w:val="17"/>
              </w:rPr>
              <w:t>LONG-TERM (3–12 Mos)</w:t>
            </w:r>
          </w:p>
        </w:tc>
        <w:tc>
          <w:tcPr>
            <w:tcW w:type="dxa" w:w="2592"/>
            <w:shd w:val="clear" w:color="auto" w:fill="F8FAFC"/>
            <w:tcMar>
              <w:top w:w="80" w:type="dxa"/>
              <w:bottom w:w="80" w:type="dxa"/>
              <w:left w:w="100" w:type="dxa"/>
              <w:right w:w="100" w:type="dxa"/>
            </w:tcMar>
          </w:tcPr>
          <w:p>
            <w:pPr>
              <w:spacing w:after="0"/>
            </w:pPr>
            <w:r>
              <w:rPr>
                <w:b/>
                <w:sz w:val="17"/>
              </w:rPr>
              <w:t>SKU Portfolio Rationalization</w:t>
            </w:r>
          </w:p>
        </w:tc>
        <w:tc>
          <w:tcPr>
            <w:tcW w:type="dxa" w:w="3168"/>
            <w:shd w:val="clear" w:color="auto" w:fill="F8FAFC"/>
            <w:tcMar>
              <w:top w:w="80" w:type="dxa"/>
              <w:bottom w:w="80" w:type="dxa"/>
              <w:left w:w="100" w:type="dxa"/>
              <w:right w:w="100" w:type="dxa"/>
            </w:tcMar>
          </w:tcPr>
          <w:p>
            <w:pPr>
              <w:spacing w:after="0"/>
            </w:pPr>
            <w:r>
              <w:rPr>
                <w:sz w:val="17"/>
              </w:rPr>
              <w:t>De-list or restructure supplier terms for heavy loss products (e.g., SOLE E35 Elliptical).</w:t>
            </w:r>
          </w:p>
        </w:tc>
        <w:tc>
          <w:tcPr>
            <w:tcW w:type="dxa" w:w="1872"/>
            <w:shd w:val="clear" w:color="auto" w:fill="F8FAFC"/>
            <w:tcMar>
              <w:top w:w="80" w:type="dxa"/>
              <w:bottom w:w="80" w:type="dxa"/>
              <w:left w:w="100" w:type="dxa"/>
              <w:right w:w="100" w:type="dxa"/>
            </w:tcMar>
          </w:tcPr>
          <w:p>
            <w:pPr>
              <w:spacing w:after="0"/>
            </w:pPr>
            <w:r>
              <w:rPr>
                <w:sz w:val="17"/>
              </w:rPr>
              <w:t>+$250K Freight Savings</w:t>
            </w:r>
          </w:p>
        </w:tc>
      </w:tr>
      <w:tr>
        <w:tc>
          <w:tcPr>
            <w:tcW w:type="dxa" w:w="2304"/>
            <w:shd w:val="clear" w:color="auto" w:fill="FFFFFF"/>
            <w:tcMar>
              <w:top w:w="80" w:type="dxa"/>
              <w:bottom w:w="80" w:type="dxa"/>
              <w:left w:w="100" w:type="dxa"/>
              <w:right w:w="100" w:type="dxa"/>
            </w:tcMar>
          </w:tcPr>
          <w:p>
            <w:pPr>
              <w:spacing w:after="0"/>
            </w:pPr>
            <w:r>
              <w:rPr>
                <w:b/>
                <w:color w:val="00A8B5"/>
                <w:sz w:val="17"/>
              </w:rPr>
              <w:t>LONG-TERM (3–12 Mos)</w:t>
            </w:r>
          </w:p>
        </w:tc>
        <w:tc>
          <w:tcPr>
            <w:tcW w:type="dxa" w:w="2592"/>
            <w:shd w:val="clear" w:color="auto" w:fill="FFFFFF"/>
            <w:tcMar>
              <w:top w:w="80" w:type="dxa"/>
              <w:bottom w:w="80" w:type="dxa"/>
              <w:left w:w="100" w:type="dxa"/>
              <w:right w:w="100" w:type="dxa"/>
            </w:tcMar>
          </w:tcPr>
          <w:p>
            <w:pPr>
              <w:spacing w:after="0"/>
            </w:pPr>
            <w:r>
              <w:rPr>
                <w:b/>
                <w:sz w:val="17"/>
              </w:rPr>
              <w:t>Dynamic Rating Engine</w:t>
            </w:r>
          </w:p>
        </w:tc>
        <w:tc>
          <w:tcPr>
            <w:tcW w:type="dxa" w:w="3168"/>
            <w:shd w:val="clear" w:color="auto" w:fill="FFFFFF"/>
            <w:tcMar>
              <w:top w:w="80" w:type="dxa"/>
              <w:bottom w:w="80" w:type="dxa"/>
              <w:left w:w="100" w:type="dxa"/>
              <w:right w:w="100" w:type="dxa"/>
            </w:tcMar>
          </w:tcPr>
          <w:p>
            <w:pPr>
              <w:spacing w:after="0"/>
            </w:pPr>
            <w:r>
              <w:rPr>
                <w:sz w:val="17"/>
              </w:rPr>
              <w:t>Embed real-time volumetric freight calculation at point-of-sale in Power BI / Streamlit.</w:t>
            </w:r>
          </w:p>
        </w:tc>
        <w:tc>
          <w:tcPr>
            <w:tcW w:type="dxa" w:w="1872"/>
            <w:shd w:val="clear" w:color="auto" w:fill="FFFFFF"/>
            <w:tcMar>
              <w:top w:w="80" w:type="dxa"/>
              <w:bottom w:w="80" w:type="dxa"/>
              <w:left w:w="100" w:type="dxa"/>
              <w:right w:w="100" w:type="dxa"/>
            </w:tcMar>
          </w:tcPr>
          <w:p>
            <w:pPr>
              <w:spacing w:after="0"/>
            </w:pPr>
            <w:r>
              <w:rPr>
                <w:sz w:val="17"/>
              </w:rPr>
              <w:t>+150 bps Margin Expansion</w:t>
            </w:r>
          </w:p>
        </w:tc>
      </w:tr>
    </w:tbl>
    <w:p>
      <w:pPr>
        <w:spacing w:after="200"/>
      </w:pPr>
    </w:p>
    <w:p>
      <w:pPr>
        <w:keepNext/>
        <w:spacing w:before="320" w:after="120"/>
      </w:pPr>
      <w:r>
        <w:rPr>
          <w:rFonts w:ascii="Arial" w:hAnsi="Arial"/>
          <w:b/>
          <w:color w:val="0A2540"/>
          <w:sz w:val="26"/>
        </w:rPr>
        <w:t>6. CONCLUSION &amp; NEXT STEPS</w:t>
      </w:r>
    </w:p>
    <w:p>
      <w:pPr>
        <w:spacing w:after="160" w:line="280" w:lineRule="exact"/>
      </w:pPr>
      <w:r>
        <w:rPr>
          <w:sz w:val="19"/>
        </w:rPr>
        <w:t>By transitioning from volume-based tracking to margin intelligence, APL Logistics (KWE Group) can eliminate commercial leakage while reinforcing its market leadership. Implementing strict discount controls, optimizing Day 1 fulfillment logistics, and restructuring unprofitable customer accounts will safeguard sustainable commercial growth.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