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284C7"/>
          <w:sz w:val="22"/>
        </w:rPr>
        <w:t>STREAMFLIX SUBSCRIPTION VIDEO-ON-DEMAND (SVOD)</w:t>
      </w:r>
    </w:p>
    <w:p>
      <w:pPr>
        <w:spacing w:after="80"/>
        <w:jc w:val="center"/>
      </w:pPr>
      <w:r>
        <w:rPr>
          <w:b/>
          <w:color w:val="0F172A"/>
          <w:sz w:val="44"/>
        </w:rPr>
        <w:t>StreamFlix Content Analytics Project</w:t>
      </w:r>
    </w:p>
    <w:p>
      <w:pPr>
        <w:spacing w:after="200"/>
        <w:jc w:val="center"/>
      </w:pPr>
      <w:r>
        <w:rPr>
          <w:color w:val="64748B"/>
          <w:sz w:val="18"/>
        </w:rPr>
        <w:t>Prepared by: Salam Patel, Data Analytics Intern  |  Organization: StreamFlix SVOD  |  Date: September 2026  |  Status: Final Internship Project Submission</w:t>
      </w:r>
    </w:p>
    <w:p>
      <w:pPr>
        <w:keepNext/>
        <w:spacing w:before="200" w:after="80"/>
      </w:pPr>
      <w:r>
        <w:rPr>
          <w:b/>
          <w:color w:val="0F172A"/>
          <w:sz w:val="26"/>
        </w:rPr>
        <w:t>1. Executive Summary</w:t>
      </w:r>
    </w:p>
    <w:p>
      <w:r>
        <w:t>StreamFlix operates as a global subscription video-on-demand (SVOD) streaming service across 20 countries, managing a catalogue of 9,000 titles across 16 primary genres. This final management summary report presents a comprehensive, data-grounded evaluation of overall platform health, subscriber dynamics, viewing experience performance, and portfolio capital efficiency. The core objective of this project is to translate complex multi-table operational data into strategic, executive-level decision frameworks for content procurement, retention optimization, and capital allocation.</w:t>
      </w:r>
    </w:p>
    <w:p>
      <w:r>
        <w:t>The underlying analytical methodology integrates an industry-grade star schema containing approximately 979,000 records across 6 interconnected tables (covering 15,000 subscriber profiles, 9,000 titles, and 650,000 viewing sessions spanning 2016 through June 2026). Overall platform health is characterized by extraordinary viewing engagement momentum, accumulating a total of 3.33 million watch hours—propelled by explosive acceleration in 2026 where the 3-month moving average reached 1.9 million hours. Active subscribers currently stand at 11,199 (74.6% active rate), generating an estimated $227,000 in Monthly Recurring Revenue (MRR) (~$2.72M ARR) with an Average Revenue Per User (ARPU) of $20.27.</w:t>
      </w:r>
    </w:p>
    <w:p>
      <w:r>
        <w:t>However, critical structural challenges threaten long-term profitability: a 25.34% cumulative churn rate (3,801 churned accounts), heavy reliance on third-party licensed content (78.16% catalogue share), and budget misallocations in high-cost, low-engagement categories. Immediate strategic intervention is required to reallocate content capital, activate unexploited catalogue assets, and mitigate churn.</w:t>
      </w:r>
    </w:p>
    <w:p>
      <w:pPr>
        <w:keepNext/>
        <w:spacing w:before="200" w:after="80"/>
      </w:pPr>
      <w:r>
        <w:rPr>
          <w:b/>
          <w:color w:val="0F172A"/>
          <w:sz w:val="26"/>
        </w:rPr>
        <w:t>2. Project Phases Summary (Phases 1–4 Workflow)</w:t>
      </w:r>
    </w:p>
    <w:p>
      <w:r>
        <w:rPr>
          <w:b/>
        </w:rPr>
        <w:t xml:space="preserve">Phase 1 — Data Cleaning &amp; Quality Audit: </w:t>
      </w:r>
      <w:r>
        <w:t>Loaded and profiled all 6 relational tables (~979k records) using Python (pandas). Conducted exhaustive referential integrity checks between the fact table (watch_history) and dimension tables (subscribers, titles). Verified that 100% of inactive subscribers possess populated churn dates occurring strictly post-signup, validated session watch durations against content duration bounds, and confirmed categorical field consistency across plan types, devices, and review sentiments.</w:t>
      </w:r>
    </w:p>
    <w:p>
      <w:r>
        <w:rPr>
          <w:b/>
        </w:rPr>
        <w:t xml:space="preserve">Phase 2 — Exploratory Data Analysis (EDA): </w:t>
      </w:r>
      <w:r>
        <w:t>Constructed 10 core analytical dimensions evaluating monthly viewing session trends, watch hour growth trajectories, genre market shares, content format splits (Movies vs TV Shows), geographic distribution across 20 countries, subscription tier distributions, multi-device ecosystem usage, subscriber age demographics, completion rate uniformities, and review sentiment breakdowns.</w:t>
      </w:r>
    </w:p>
    <w:p>
      <w:r>
        <w:rPr>
          <w:b/>
        </w:rPr>
        <w:t xml:space="preserve">Phase 3 — Business KPI Calculations: </w:t>
      </w:r>
      <w:r>
        <w:t>Formulated and computed 10 executive business KPIs: Total Watch Hours (3.33M hrs), Active Subscriber Rate (74.6%), Cumulative Churn Rate (25.34%), Average Completion Rate (65.31%), Monthly Recurring Revenue ($227k MRR), ARPU ($20.27 / active user), Avg Watch Time per Subscriber (222.26 hrs), Watchlist Conversion Rate, Hit Title Concentration, and Originals Engagement Share (21.84% catalogue share).</w:t>
      </w:r>
    </w:p>
    <w:p>
      <w:r>
        <w:rPr>
          <w:b/>
        </w:rPr>
        <w:t xml:space="preserve">Phase 4 — Dashboard &amp; Executive Reporting: </w:t>
      </w:r>
      <w:r>
        <w:t>Synthesized all analytical pipelines into an interactive 5-page Power BI dashboard and executive management summary report, establishing operational visibility for non-technical leadership.</w:t>
      </w:r>
    </w:p>
    <w:p>
      <w:pPr>
        <w:keepNext/>
        <w:spacing w:before="200" w:after="80"/>
      </w:pPr>
      <w:r>
        <w:rPr>
          <w:b/>
          <w:color w:val="0F172A"/>
          <w:sz w:val="26"/>
        </w:rPr>
        <w:t>3. Dashboard Highlights (5-Page Overview)</w:t>
      </w:r>
    </w:p>
    <w:p>
      <w:pPr>
        <w:keepNext/>
        <w:spacing w:before="160" w:after="40"/>
      </w:pPr>
      <w:r>
        <w:rPr>
          <w:b/>
          <w:color w:val="0284C7"/>
          <w:sz w:val="21"/>
        </w:rPr>
        <w:t>Page 1: Engagement Overview</w:t>
      </w:r>
    </w:p>
    <w:p>
      <w:pPr>
        <w:pStyle w:val="ListBullet"/>
        <w:spacing w:after="60"/>
      </w:pPr>
      <w:r>
        <w:rPr>
          <w:b/>
          <w:color w:val="0F172A"/>
        </w:rPr>
        <w:t xml:space="preserve">Exponential Viewing Surge: </w:t>
      </w:r>
      <w:r>
        <w:t>Platform watch hours expanded from 0.1M (2023) and 0.3M (2024) to 0.7M (2025), surging exponentially to 2.2M hours in 2026 (3-month moving average of 1.9M hours), accumulating 3.33M total watch hours.</w:t>
      </w:r>
    </w:p>
    <w:p>
      <w:pPr>
        <w:pStyle w:val="ListBullet"/>
        <w:spacing w:after="60"/>
      </w:pPr>
      <w:r>
        <w:rPr>
          <w:b/>
          <w:color w:val="0F172A"/>
        </w:rPr>
        <w:t xml:space="preserve">Subscriber Baseline: </w:t>
      </w:r>
      <w:r>
        <w:t>Total registrations reached 15,000 subscribers, comprising 11,199 active accounts and 3,801 cumulative churned accounts (25.34% churn rate).</w:t>
      </w:r>
    </w:p>
    <w:p>
      <w:pPr>
        <w:pStyle w:val="ListBullet"/>
        <w:spacing w:after="60"/>
      </w:pPr>
      <w:r>
        <w:rPr>
          <w:b/>
          <w:color w:val="0F172A"/>
        </w:rPr>
        <w:t xml:space="preserve">Session Completion Buckets: </w:t>
      </w:r>
      <w:r>
        <w:t>High-completion sessions (&gt;80%) represent 43.37% of watch time (18.41M mins), moderate completion (50–80%) accounts for 43.06% (18.28M mins), and low-completion (&lt;50%) comprises 13.56% (5.76M mins).</w:t>
      </w:r>
    </w:p>
    <w:p>
      <w:pPr>
        <w:pStyle w:val="ListBullet"/>
        <w:spacing w:after="60"/>
      </w:pPr>
      <w:r>
        <w:rPr>
          <w:b/>
          <w:color w:val="0F172A"/>
        </w:rPr>
        <w:t xml:space="preserve">Top Geographic Markets: </w:t>
      </w:r>
      <w:r>
        <w:t>United States leads global consumption at ~0.90M watch hours, followed by India (0.38M), United Kingdom (0.29M), South Korea (0.24M), Brazil (0.21M), and Japan (0.17M).</w:t>
      </w:r>
    </w:p>
    <w:p>
      <w:pPr>
        <w:keepNext/>
        <w:spacing w:before="160" w:after="40"/>
      </w:pPr>
      <w:r>
        <w:rPr>
          <w:b/>
          <w:color w:val="0284C7"/>
          <w:sz w:val="21"/>
        </w:rPr>
        <w:t>Page 2: Content Performance</w:t>
      </w:r>
    </w:p>
    <w:p>
      <w:pPr>
        <w:pStyle w:val="ListBullet"/>
        <w:spacing w:after="60"/>
      </w:pPr>
      <w:r>
        <w:rPr>
          <w:b/>
          <w:color w:val="0F172A"/>
        </w:rPr>
        <w:t xml:space="preserve">Genre Share Leaders: </w:t>
      </w:r>
      <w:r>
        <w:t>Drama dominates consumption with 501.88K watch hours (15.06%), followed by Comedy (423.15K / 12.69%), Action (393.17K / 11.79%), Thriller (307.02K / 9.21%), Documentary (291.22K / 8.74%), and Crime (237.44K / 7.12%).</w:t>
      </w:r>
    </w:p>
    <w:p>
      <w:pPr>
        <w:pStyle w:val="ListBullet"/>
        <w:spacing w:after="60"/>
      </w:pPr>
      <w:r>
        <w:rPr>
          <w:b/>
          <w:color w:val="0F172A"/>
        </w:rPr>
        <w:t xml:space="preserve">Top Title Franchises: </w:t>
      </w:r>
      <w:r>
        <w:t>Wild Verdict II leads individual titles at ~2,600 watch hours, supported by Wild Toronto III (~500 hrs), Wild Toronto IV, Wild Verdict, and Wild Toronto V. Flagship original Gilded Thread leads overall title highlighting.</w:t>
      </w:r>
    </w:p>
    <w:p>
      <w:pPr>
        <w:pStyle w:val="ListBullet"/>
        <w:spacing w:after="60"/>
      </w:pPr>
      <w:r>
        <w:rPr>
          <w:b/>
          <w:color w:val="0F172A"/>
        </w:rPr>
        <w:t xml:space="preserve">Cross-Genre Completion Uniformity: </w:t>
      </w:r>
      <w:r>
        <w:t>Average completion rate remains remarkably constant across all 16 primary genres at ~65.31%, demonstrating consistent production quality across categories.</w:t>
      </w:r>
    </w:p>
    <w:p>
      <w:pPr>
        <w:keepNext/>
        <w:spacing w:before="160" w:after="40"/>
      </w:pPr>
      <w:r>
        <w:rPr>
          <w:b/>
          <w:color w:val="0284C7"/>
          <w:sz w:val="21"/>
        </w:rPr>
        <w:t>Page 3: Subscriber Insights</w:t>
      </w:r>
    </w:p>
    <w:p>
      <w:pPr>
        <w:pStyle w:val="ListBullet"/>
        <w:spacing w:after="60"/>
      </w:pPr>
      <w:r>
        <w:rPr>
          <w:b/>
          <w:color w:val="0F172A"/>
        </w:rPr>
        <w:t xml:space="preserve">Subscriber Growth: </w:t>
      </w:r>
      <w:r>
        <w:t>Active subscribers total 11,199 against 3,801 churned users. Year-to-date 2026 signups added 1,059 new subscribers.</w:t>
      </w:r>
    </w:p>
    <w:p>
      <w:pPr>
        <w:pStyle w:val="ListBullet"/>
        <w:spacing w:after="60"/>
      </w:pPr>
      <w:r>
        <w:rPr>
          <w:b/>
          <w:color w:val="0F172A"/>
        </w:rPr>
        <w:t xml:space="preserve">Monetization Tiers: </w:t>
      </w:r>
      <w:r>
        <w:t>Standard Plan is the largest tier with ~6,100 subscribers (40.7% share / $15.49/mo), Basic with Ads represents ~4,500 (30.0% / $6.99/mo), and Premium accounts for ~4,400 (29.3% / $22.99/mo).</w:t>
      </w:r>
    </w:p>
    <w:p>
      <w:pPr>
        <w:pStyle w:val="ListBullet"/>
        <w:spacing w:after="60"/>
      </w:pPr>
      <w:r>
        <w:rPr>
          <w:b/>
          <w:color w:val="0F172A"/>
        </w:rPr>
        <w:t xml:space="preserve">Device Ecosystem: </w:t>
      </w:r>
      <w:r>
        <w:t>Smart TV leads primary device adoption (14.8K subscribers), followed by Mobile (14.5K), Laptop (13.5K), Tablet (12.4K), Game Console (11.6K), and Streaming Stick (10.5K).</w:t>
      </w:r>
    </w:p>
    <w:p>
      <w:pPr>
        <w:pStyle w:val="ListBullet"/>
        <w:spacing w:after="60"/>
      </w:pPr>
      <w:r>
        <w:rPr>
          <w:b/>
          <w:color w:val="0F172A"/>
        </w:rPr>
        <w:t xml:space="preserve">Regional Breakdown: </w:t>
      </w:r>
      <w:r>
        <w:t>North America holds 28.61% of subscribers (~4K), Europe 24.51% (~4K), East Asia 12.92% (~2K), South Asia 12.49% (~2K), Latin America 12.05% (~2K), and Others 3.17%.</w:t>
      </w:r>
    </w:p>
    <w:p>
      <w:pPr>
        <w:keepNext/>
        <w:spacing w:before="160" w:after="40"/>
      </w:pPr>
      <w:r>
        <w:rPr>
          <w:b/>
          <w:color w:val="0284C7"/>
          <w:sz w:val="21"/>
        </w:rPr>
        <w:t>Page 4: Experience Performance</w:t>
      </w:r>
    </w:p>
    <w:p>
      <w:pPr>
        <w:pStyle w:val="ListBullet"/>
        <w:spacing w:after="60"/>
      </w:pPr>
      <w:r>
        <w:rPr>
          <w:b/>
          <w:color w:val="0F172A"/>
        </w:rPr>
        <w:t xml:space="preserve">User Engagement Depth: </w:t>
      </w:r>
      <w:r>
        <w:t>Subscribers average 222.26 watch hours and 0.60 titles consumed per account.</w:t>
      </w:r>
    </w:p>
    <w:p>
      <w:pPr>
        <w:pStyle w:val="ListBullet"/>
        <w:spacing w:after="60"/>
      </w:pPr>
      <w:r>
        <w:rPr>
          <w:b/>
          <w:color w:val="0F172A"/>
        </w:rPr>
        <w:t xml:space="preserve">Smart TV Share Dominance: </w:t>
      </w:r>
      <w:r>
        <w:t>Smart TV drives 1.13M watch hours (34.0% total share) with the highest per-user intensity (~75 hrs/sub), followed by Mobile (0.9M hrs / 27.01%), Laptop (0.5M hrs / 14.9%), Tablet (0.33M hrs / 9.94%), and Game Console (0.27M hrs / 8.1%).</w:t>
      </w:r>
    </w:p>
    <w:p>
      <w:pPr>
        <w:pStyle w:val="ListBullet"/>
        <w:spacing w:after="60"/>
      </w:pPr>
      <w:r>
        <w:rPr>
          <w:b/>
          <w:color w:val="0F172A"/>
        </w:rPr>
        <w:t xml:space="preserve">2026 Velocity Spike: </w:t>
      </w:r>
      <w:r>
        <w:t>The 3-month moving average for watch hours experienced exponential acceleration in 2026, surpassing 1.0M monthly average hours.</w:t>
      </w:r>
    </w:p>
    <w:p>
      <w:pPr>
        <w:keepNext/>
        <w:spacing w:before="160" w:after="40"/>
      </w:pPr>
      <w:r>
        <w:rPr>
          <w:b/>
          <w:color w:val="0284C7"/>
          <w:sz w:val="21"/>
        </w:rPr>
        <w:t>Page 5: Catalogue &amp; Investment Analysis</w:t>
      </w:r>
    </w:p>
    <w:p>
      <w:pPr>
        <w:pStyle w:val="ListBullet"/>
        <w:spacing w:after="60"/>
      </w:pPr>
      <w:r>
        <w:rPr>
          <w:b/>
          <w:color w:val="0F172A"/>
        </w:rPr>
        <w:t xml:space="preserve">Catalogue Profile &amp; Quality: </w:t>
      </w:r>
      <w:r>
        <w:t>Total catalogue contains 9,000 titles with an average quality rating of 3.55 / 5.0.</w:t>
      </w:r>
    </w:p>
    <w:p>
      <w:pPr>
        <w:pStyle w:val="ListBullet"/>
        <w:spacing w:after="60"/>
      </w:pPr>
      <w:r>
        <w:rPr>
          <w:b/>
          <w:color w:val="0F172A"/>
        </w:rPr>
        <w:t xml:space="preserve">Originals vs. Licensed Split: </w:t>
      </w:r>
      <w:r>
        <w:t>78.16% (7,030 titles) of the catalogue is third-party Licensed content, while 21.84% (1,970 titles) are StreamFlix Originals.</w:t>
      </w:r>
    </w:p>
    <w:p>
      <w:pPr>
        <w:pStyle w:val="ListBullet"/>
        <w:spacing w:after="60"/>
      </w:pPr>
      <w:r>
        <w:rPr>
          <w:b/>
          <w:color w:val="0F172A"/>
        </w:rPr>
        <w:t xml:space="preserve">Asset Portfolio Segments: </w:t>
      </w:r>
      <w:r>
        <w:t>Portfolio mapping identified 1,424 Star Titles (high rating, high hours), 11 Hidden Gems (high rating, low hours), and 9 Risky Titles (high cost, low hours).</w:t>
      </w:r>
    </w:p>
    <w:p>
      <w:pPr>
        <w:pStyle w:val="ListBullet"/>
        <w:spacing w:after="60"/>
      </w:pPr>
      <w:r>
        <w:rPr>
          <w:b/>
          <w:color w:val="0F172A"/>
        </w:rPr>
        <w:t xml:space="preserve">Capital Efficiency (Hours per $1k Spent): </w:t>
      </w:r>
      <w:r>
        <w:t>Animation leads efficiency at ~0.20 watch hours per $1k spent, followed by Kids &amp; Family (~0.18), Documentary (~0.17), Action (~0.17), Crime (~0.16), Drama (~0.15), and Comedy (~0.15).</w:t>
      </w:r>
    </w:p>
    <w:p>
      <w:pPr>
        <w:pStyle w:val="ListBullet"/>
        <w:spacing w:after="60"/>
      </w:pPr>
      <w:r>
        <w:rPr>
          <w:b/>
          <w:color w:val="0F172A"/>
        </w:rPr>
        <w:t xml:space="preserve">Licensing Expiry Exposure: </w:t>
      </w:r>
      <w:r>
        <w:t>Heavy dependence on 7,030 licensed titles exposes StreamFlix to content renewal fee spikes or catalogue contraction upon licence expiry.</w:t>
      </w:r>
    </w:p>
    <w:p>
      <w:pPr>
        <w:keepNext/>
        <w:spacing w:before="200" w:after="80"/>
      </w:pPr>
      <w:r>
        <w:rPr>
          <w:b/>
          <w:color w:val="0F172A"/>
          <w:sz w:val="26"/>
        </w:rPr>
        <w:t>4. Top 3 Strategic Discoveries</w:t>
      </w:r>
    </w:p>
    <w:p>
      <w:r>
        <w:rPr>
          <w:b/>
        </w:rPr>
        <w:t xml:space="preserve">1. Disconnect Between Viewing Velocity and Capital Efficiency: </w:t>
      </w:r>
      <w:r>
        <w:t>While platform watch hours reached 3.33M, content spend exhibits severe structural inefficiencies. High-cost categories like Stand-Up, Reality, and Horror absorb significant capital while delivering low watch hours per $1k spent. Conversely, Animation (~0.20 hrs/$1k) and Kids &amp; Family (~0.18 hrs/$1k) generate massive recurring engagement at superior cost efficiency.</w:t>
      </w:r>
    </w:p>
    <w:p>
      <w:r>
        <w:rPr>
          <w:b/>
        </w:rPr>
        <w:t xml:space="preserve">2. Unexploited Value in 'Hidden Gems' Quadrant: </w:t>
      </w:r>
      <w:r>
        <w:t>Portfolio quadrant mapping uncovered 11 'Hidden Gems'—titles possessing exceptional user ratings (&gt;4.0/5.0) but low total watch hours. These titles represent immediate, zero-marginal-cost opportunities to drive watch time through UI recommendation placement and targeted push notifications.</w:t>
      </w:r>
    </w:p>
    <w:p>
      <w:r>
        <w:rPr>
          <w:b/>
        </w:rPr>
        <w:t xml:space="preserve">3. Smart TV &amp; North American Living-Room Dominance: </w:t>
      </w:r>
      <w:r>
        <w:t>Smart TV devices command 34.0% of all watch hours (1.13M hrs) and generate the highest per-subscriber engagement (~75 hrs/sub). Combined with North America's leading subscriber share (28.61%), living-room TV viewing serves as StreamFlix's core customer retention moat.</w:t>
      </w:r>
    </w:p>
    <w:p>
      <w:pPr>
        <w:keepNext/>
        <w:spacing w:before="200" w:after="80"/>
      </w:pPr>
      <w:r>
        <w:rPr>
          <w:b/>
          <w:color w:val="0F172A"/>
          <w:sz w:val="26"/>
        </w:rPr>
        <w:t>5. Risks Identified &amp; Governance Standards</w:t>
      </w:r>
    </w:p>
    <w:p>
      <w:pPr>
        <w:pStyle w:val="ListBullet"/>
        <w:spacing w:after="60"/>
      </w:pPr>
      <w:r>
        <w:rPr>
          <w:b/>
          <w:color w:val="0F172A"/>
        </w:rPr>
        <w:t xml:space="preserve">Subscriber Churn &amp; Abandonment: </w:t>
      </w:r>
      <w:r>
        <w:t>Cumulative churn stands at 25.34% (3,801 churned accounts). Low-completion sessions (&lt;50%) represent 13.56% of watch time (5.76M mins), indicating early viewer drop-off and discovery friction.</w:t>
      </w:r>
    </w:p>
    <w:p>
      <w:pPr>
        <w:pStyle w:val="ListBullet"/>
        <w:spacing w:after="60"/>
      </w:pPr>
      <w:r>
        <w:rPr>
          <w:b/>
          <w:color w:val="0F172A"/>
        </w:rPr>
        <w:t xml:space="preserve">Content Budget Inefficiency &amp; Licensing Liability: </w:t>
      </w:r>
      <w:r>
        <w:t>With 78.16% of the catalogue (7,030 titles) under third-party licensing and 9 'Risky Titles' generating minimal engagement relative to cost, upcoming licence expiries threaten margin compression.</w:t>
      </w:r>
    </w:p>
    <w:p>
      <w:pPr>
        <w:pStyle w:val="ListBullet"/>
        <w:spacing w:after="60"/>
      </w:pPr>
      <w:r>
        <w:rPr>
          <w:b/>
          <w:color w:val="0F172A"/>
        </w:rPr>
        <w:t xml:space="preserve">Data Privacy Compliance (GDPR / CCPA Enforcement): </w:t>
      </w:r>
      <w:r>
        <w:t>Managing viewing logs, payment profiles, and device IDs across 20 countries mandates strict GDPR and CCPA adherence, requiring anonymized telemetry and strict data access controls.</w:t>
      </w:r>
    </w:p>
    <w:p>
      <w:pPr>
        <w:pStyle w:val="ListBullet"/>
        <w:spacing w:after="60"/>
      </w:pPr>
      <w:r>
        <w:rPr>
          <w:b/>
          <w:color w:val="0F172A"/>
        </w:rPr>
        <w:t xml:space="preserve">AI Recommendation Bias &amp; Algorithmic Fatigue: </w:t>
      </w:r>
      <w:r>
        <w:t>Heavy viewing concentration in top franchises (Wild Verdict, Wild Toronto) signals recommendation algorithm bias favoring high-volume titles, suppressing long-tail content and inducing viewer fatigue.</w:t>
      </w:r>
    </w:p>
    <w:p>
      <w:pPr>
        <w:keepNext/>
        <w:spacing w:before="200" w:after="80"/>
      </w:pPr>
      <w:r>
        <w:rPr>
          <w:b/>
          <w:color w:val="0F172A"/>
          <w:sz w:val="26"/>
        </w:rPr>
        <w:t>6. Growth Opportunities &amp; Actionable Recommendations</w:t>
      </w:r>
    </w:p>
    <w:p>
      <w:r>
        <w:rPr>
          <w:b/>
        </w:rPr>
        <w:t xml:space="preserve">Opportunity 1: High-ROI Budget Reallocation: </w:t>
      </w:r>
      <w:r>
        <w:t>Reallocate 15–20% of the acquisition budget away from high-cost, low-yield categories (Stand-Up, Reality, Horror) into high-efficiency genres (Animation, Kids &amp; Family, Documentary) to maximize hours generated per dollar spent.</w:t>
      </w:r>
    </w:p>
    <w:p>
      <w:r>
        <w:rPr>
          <w:b/>
        </w:rPr>
        <w:t xml:space="preserve">Opportunity 2: UI Hero Promotion for 'Hidden Gems': </w:t>
      </w:r>
      <w:r>
        <w:t>Feature the 11 identified Hidden Gems in primary UI carousels and deploy automated re-engagement notifications for subscribers with &lt;50% completion sessions, projecting a +10–15% watch time lift without additional licensing outlay.</w:t>
      </w:r>
    </w:p>
    <w:p>
      <w:r>
        <w:rPr>
          <w:b/>
        </w:rPr>
        <w:t xml:space="preserve">Opportunity 3: Divest 'Risky Titles' &amp; Expand Originals IP: </w:t>
      </w:r>
      <w:r>
        <w:t>Non-renew or renegotiate contracts for the 9 'Risky Titles' upon expiry. Reinvest capital into expanding StreamFlix Originals from 21.84% toward a 30.0% catalogue share to build permanent IP equity and eliminate licensing renewal risk.</w:t>
      </w:r>
    </w:p>
    <w:p>
      <w:pPr>
        <w:keepNext/>
        <w:spacing w:before="200" w:after="80"/>
      </w:pPr>
      <w:r>
        <w:rPr>
          <w:b/>
          <w:color w:val="0F172A"/>
          <w:sz w:val="26"/>
        </w:rPr>
        <w:t>7. Strategic Execution Roadmap (Q1–Q4 Timeline)</w:t>
      </w:r>
    </w:p>
    <w:tbl>
      <w:tblPr>
        <w:tblW w:type="auto" w:w="0"/>
        <w:jc w:val="center"/>
        <w:tblLayout w:type="fixed"/>
        <w:tblLook w:firstColumn="1" w:firstRow="1" w:lastColumn="0" w:lastRow="0" w:noHBand="0" w:noVBand="1" w:val="04A0"/>
      </w:tblPr>
      <w:tblGrid>
        <w:gridCol w:w="5400"/>
        <w:gridCol w:w="5400"/>
      </w:tblGrid>
      <w:tr>
        <w:tc>
          <w:tcPr>
            <w:tcW w:type="dxa" w:w="2160"/>
            <w:shd w:fill="0F172A"/>
            <w:tcMar>
              <w:top w:w="120" w:type="dxa"/>
              <w:bottom w:w="120" w:type="dxa"/>
              <w:left w:w="150" w:type="dxa"/>
              <w:right w:w="150" w:type="dxa"/>
            </w:tcMar>
          </w:tcPr>
          <w:p>
            <w:r>
              <w:rPr>
                <w:b/>
                <w:color w:val="FFFFFF"/>
              </w:rPr>
              <w:t>Quarter</w:t>
            </w:r>
          </w:p>
        </w:tc>
        <w:tc>
          <w:tcPr>
            <w:tcW w:type="dxa" w:w="8640"/>
            <w:shd w:fill="0F172A"/>
            <w:tcMar>
              <w:top w:w="120" w:type="dxa"/>
              <w:bottom w:w="120" w:type="dxa"/>
              <w:left w:w="150" w:type="dxa"/>
              <w:right w:w="150" w:type="dxa"/>
            </w:tcMar>
          </w:tcPr>
          <w:p>
            <w:r>
              <w:rPr>
                <w:b/>
                <w:color w:val="FFFFFF"/>
              </w:rPr>
              <w:t>Key Strategic Initiatives &amp; Milestone Deliverables</w:t>
            </w:r>
          </w:p>
        </w:tc>
      </w:tr>
      <w:tr>
        <w:tc>
          <w:tcPr>
            <w:tcW w:type="dxa" w:w="2160"/>
            <w:shd w:fill="FFFFFF"/>
            <w:tcMar>
              <w:top w:w="100" w:type="dxa"/>
              <w:bottom w:w="100" w:type="dxa"/>
              <w:left w:w="150" w:type="dxa"/>
              <w:right w:w="150" w:type="dxa"/>
            </w:tcMar>
          </w:tcPr>
          <w:p>
            <w:r>
              <w:rPr>
                <w:b/>
                <w:color w:val="0F172A"/>
              </w:rPr>
              <w:t>Q1 2027</w:t>
              <w:br/>
              <w:t>(Months 1–3)</w:t>
            </w:r>
          </w:p>
        </w:tc>
        <w:tc>
          <w:tcPr>
            <w:tcW w:type="dxa" w:w="8640"/>
            <w:shd w:fill="FFFFFF"/>
            <w:tcMar>
              <w:top w:w="100" w:type="dxa"/>
              <w:bottom w:w="100" w:type="dxa"/>
              <w:left w:w="150" w:type="dxa"/>
              <w:right w:w="150" w:type="dxa"/>
            </w:tcMar>
          </w:tcPr>
          <w:p>
            <w:r>
              <w:t>• Audit 7,030 licensed titles for upcoming expiry dates.</w:t>
              <w:br/>
              <w:t>• Initiate non-renewal or contract renegotiation for 9 'Risky Titles'.</w:t>
              <w:br/>
              <w:t>• Launch UI carousel spotlights featuring 11 'Hidden Gems' on home screen.</w:t>
            </w:r>
          </w:p>
        </w:tc>
      </w:tr>
      <w:tr>
        <w:tc>
          <w:tcPr>
            <w:tcW w:type="dxa" w:w="2160"/>
            <w:shd w:fill="F8FAFC"/>
            <w:tcMar>
              <w:top w:w="100" w:type="dxa"/>
              <w:bottom w:w="100" w:type="dxa"/>
              <w:left w:w="150" w:type="dxa"/>
              <w:right w:w="150" w:type="dxa"/>
            </w:tcMar>
          </w:tcPr>
          <w:p>
            <w:r>
              <w:rPr>
                <w:b/>
                <w:color w:val="0F172A"/>
              </w:rPr>
              <w:t>Q2 2027</w:t>
              <w:br/>
              <w:t>(Months 4–6)</w:t>
            </w:r>
          </w:p>
        </w:tc>
        <w:tc>
          <w:tcPr>
            <w:tcW w:type="dxa" w:w="8640"/>
            <w:shd w:fill="F8FAFC"/>
            <w:tcMar>
              <w:top w:w="100" w:type="dxa"/>
              <w:bottom w:w="100" w:type="dxa"/>
              <w:left w:w="150" w:type="dxa"/>
              <w:right w:w="150" w:type="dxa"/>
            </w:tcMar>
          </w:tcPr>
          <w:p>
            <w:r>
              <w:t>• Reallocate 15–20% capital shift toward Animation and Kids &amp; Family.</w:t>
              <w:br/>
              <w:t>• De-bias recommendation algorithms to promote long-tail content.</w:t>
              <w:br/>
              <w:t>• Deploy automated re-engagement workflows for &lt;50% completion accounts.</w:t>
            </w:r>
          </w:p>
        </w:tc>
      </w:tr>
      <w:tr>
        <w:tc>
          <w:tcPr>
            <w:tcW w:type="dxa" w:w="2160"/>
            <w:shd w:fill="FFFFFF"/>
            <w:tcMar>
              <w:top w:w="100" w:type="dxa"/>
              <w:bottom w:w="100" w:type="dxa"/>
              <w:left w:w="150" w:type="dxa"/>
              <w:right w:w="150" w:type="dxa"/>
            </w:tcMar>
          </w:tcPr>
          <w:p>
            <w:r>
              <w:rPr>
                <w:b/>
                <w:color w:val="0F172A"/>
              </w:rPr>
              <w:t>Q3 2027</w:t>
              <w:br/>
              <w:t>(Months 7–9)</w:t>
            </w:r>
          </w:p>
        </w:tc>
        <w:tc>
          <w:tcPr>
            <w:tcW w:type="dxa" w:w="8640"/>
            <w:shd w:fill="FFFFFF"/>
            <w:tcMar>
              <w:top w:w="100" w:type="dxa"/>
              <w:bottom w:w="100" w:type="dxa"/>
              <w:left w:w="150" w:type="dxa"/>
              <w:right w:w="150" w:type="dxa"/>
            </w:tcMar>
          </w:tcPr>
          <w:p>
            <w:r>
              <w:t>• Expand proprietary StreamFlix Originals production toward 30.0% catalogue share.</w:t>
              <w:br/>
              <w:t>• Roll out living-room Smart TV UX performance enhancements in North America and Europe.</w:t>
            </w:r>
          </w:p>
        </w:tc>
      </w:tr>
      <w:tr>
        <w:tc>
          <w:tcPr>
            <w:tcW w:type="dxa" w:w="2160"/>
            <w:shd w:fill="F8FAFC"/>
            <w:tcMar>
              <w:top w:w="100" w:type="dxa"/>
              <w:bottom w:w="100" w:type="dxa"/>
              <w:left w:w="150" w:type="dxa"/>
              <w:right w:w="150" w:type="dxa"/>
            </w:tcMar>
          </w:tcPr>
          <w:p>
            <w:r>
              <w:rPr>
                <w:b/>
                <w:color w:val="0F172A"/>
              </w:rPr>
              <w:t>Q4 2027</w:t>
              <w:br/>
              <w:t>(Months 10–12)</w:t>
            </w:r>
          </w:p>
        </w:tc>
        <w:tc>
          <w:tcPr>
            <w:tcW w:type="dxa" w:w="8640"/>
            <w:shd w:fill="F8FAFC"/>
            <w:tcMar>
              <w:top w:w="100" w:type="dxa"/>
              <w:bottom w:w="100" w:type="dxa"/>
              <w:left w:w="150" w:type="dxa"/>
              <w:right w:w="150" w:type="dxa"/>
            </w:tcMar>
          </w:tcPr>
          <w:p>
            <w:r>
              <w:t>• Scale localized content acquisition across East Asia, South Asia, and Latin America.</w:t>
              <w:br/>
              <w:t>• Establish annual portfolio quadrant audits and strategic capital review.</w:t>
            </w:r>
          </w:p>
        </w:tc>
      </w:tr>
    </w:tbl>
    <w:p>
      <w:pPr>
        <w:keepNext/>
        <w:spacing w:before="200" w:after="80"/>
      </w:pPr>
      <w:r>
        <w:rPr>
          <w:b/>
          <w:color w:val="0F172A"/>
          <w:sz w:val="26"/>
        </w:rPr>
        <w:t>8. Key Analytics Benchmarks &amp; KPI Summary Table</w:t>
      </w:r>
    </w:p>
    <w:tbl>
      <w:tblPr>
        <w:tblW w:type="auto" w:w="0"/>
        <w:jc w:val="center"/>
        <w:tblLayout w:type="fixed"/>
        <w:tblLook w:firstColumn="1" w:firstRow="1" w:lastColumn="0" w:lastRow="0" w:noHBand="0" w:noVBand="1" w:val="04A0"/>
      </w:tblPr>
      <w:tblGrid>
        <w:gridCol w:w="3600"/>
        <w:gridCol w:w="3600"/>
        <w:gridCol w:w="3600"/>
      </w:tblGrid>
      <w:tr>
        <w:tc>
          <w:tcPr>
            <w:tcW w:type="dxa" w:w="4032"/>
            <w:shd w:fill="0F172A"/>
            <w:tcMar>
              <w:top w:w="120" w:type="dxa"/>
              <w:bottom w:w="120" w:type="dxa"/>
              <w:left w:w="120" w:type="dxa"/>
              <w:right w:w="120" w:type="dxa"/>
            </w:tcMar>
          </w:tcPr>
          <w:p>
            <w:r>
              <w:rPr>
                <w:b/>
                <w:color w:val="FFFFFF"/>
              </w:rPr>
              <w:t>Key Performance Indicator (KPI)</w:t>
            </w:r>
          </w:p>
        </w:tc>
        <w:tc>
          <w:tcPr>
            <w:tcW w:type="dxa" w:w="3168"/>
            <w:shd w:fill="0F172A"/>
            <w:tcMar>
              <w:top w:w="120" w:type="dxa"/>
              <w:bottom w:w="120" w:type="dxa"/>
              <w:left w:w="120" w:type="dxa"/>
              <w:right w:w="120" w:type="dxa"/>
            </w:tcMar>
          </w:tcPr>
          <w:p>
            <w:r>
              <w:rPr>
                <w:b/>
                <w:color w:val="FFFFFF"/>
              </w:rPr>
              <w:t>Observed Metric Value</w:t>
            </w:r>
          </w:p>
        </w:tc>
        <w:tc>
          <w:tcPr>
            <w:tcW w:type="dxa" w:w="3600"/>
            <w:shd w:fill="0F172A"/>
            <w:tcMar>
              <w:top w:w="120" w:type="dxa"/>
              <w:bottom w:w="120" w:type="dxa"/>
              <w:left w:w="120" w:type="dxa"/>
              <w:right w:w="120" w:type="dxa"/>
            </w:tcMar>
          </w:tcPr>
          <w:p>
            <w:r>
              <w:rPr>
                <w:b/>
                <w:color w:val="FFFFFF"/>
              </w:rPr>
              <w:t>Strategic Target / Benchmark</w:t>
            </w:r>
          </w:p>
        </w:tc>
      </w:tr>
      <w:tr>
        <w:tc>
          <w:tcPr>
            <w:tcW w:type="dxa" w:w="4032"/>
            <w:shd w:fill="FFFFFF"/>
            <w:tcMar>
              <w:top w:w="80" w:type="dxa"/>
              <w:bottom w:w="80" w:type="dxa"/>
              <w:left w:w="120" w:type="dxa"/>
              <w:right w:w="120" w:type="dxa"/>
            </w:tcMar>
          </w:tcPr>
          <w:p>
            <w:r>
              <w:rPr>
                <w:b/>
                <w:color w:val="0F172A"/>
              </w:rPr>
              <w:t>Total Platform Watch Hours</w:t>
            </w:r>
          </w:p>
        </w:tc>
        <w:tc>
          <w:tcPr>
            <w:tcW w:type="dxa" w:w="3168"/>
            <w:shd w:fill="FFFFFF"/>
            <w:tcMar>
              <w:top w:w="80" w:type="dxa"/>
              <w:bottom w:w="80" w:type="dxa"/>
              <w:left w:w="120" w:type="dxa"/>
              <w:right w:w="120" w:type="dxa"/>
            </w:tcMar>
          </w:tcPr>
          <w:p>
            <w:r>
              <w:t>3.33 Million Hours</w:t>
            </w:r>
          </w:p>
        </w:tc>
        <w:tc>
          <w:tcPr>
            <w:tcW w:type="dxa" w:w="3600"/>
            <w:shd w:fill="FFFFFF"/>
            <w:tcMar>
              <w:top w:w="80" w:type="dxa"/>
              <w:bottom w:w="80" w:type="dxa"/>
              <w:left w:w="120" w:type="dxa"/>
              <w:right w:w="120" w:type="dxa"/>
            </w:tcMar>
          </w:tcPr>
          <w:p>
            <w:r>
              <w:t>Exponential Growth Trajectory</w:t>
            </w:r>
          </w:p>
        </w:tc>
      </w:tr>
      <w:tr>
        <w:tc>
          <w:tcPr>
            <w:tcW w:type="dxa" w:w="4032"/>
            <w:shd w:fill="F8FAFC"/>
            <w:tcMar>
              <w:top w:w="80" w:type="dxa"/>
              <w:bottom w:w="80" w:type="dxa"/>
              <w:left w:w="120" w:type="dxa"/>
              <w:right w:w="120" w:type="dxa"/>
            </w:tcMar>
          </w:tcPr>
          <w:p>
            <w:r>
              <w:rPr>
                <w:b/>
                <w:color w:val="0F172A"/>
              </w:rPr>
              <w:t>Active Subscriber Rate</w:t>
            </w:r>
          </w:p>
        </w:tc>
        <w:tc>
          <w:tcPr>
            <w:tcW w:type="dxa" w:w="3168"/>
            <w:shd w:fill="F8FAFC"/>
            <w:tcMar>
              <w:top w:w="80" w:type="dxa"/>
              <w:bottom w:w="80" w:type="dxa"/>
              <w:left w:w="120" w:type="dxa"/>
              <w:right w:w="120" w:type="dxa"/>
            </w:tcMar>
          </w:tcPr>
          <w:p>
            <w:r>
              <w:t>74.6% (11,199 Active)</w:t>
            </w:r>
          </w:p>
        </w:tc>
        <w:tc>
          <w:tcPr>
            <w:tcW w:type="dxa" w:w="3600"/>
            <w:shd w:fill="F8FAFC"/>
            <w:tcMar>
              <w:top w:w="80" w:type="dxa"/>
              <w:bottom w:w="80" w:type="dxa"/>
              <w:left w:w="120" w:type="dxa"/>
              <w:right w:w="120" w:type="dxa"/>
            </w:tcMar>
          </w:tcPr>
          <w:p>
            <w:r>
              <w:t>Target &gt; 70.0% Healthy Base</w:t>
            </w:r>
          </w:p>
        </w:tc>
      </w:tr>
      <w:tr>
        <w:tc>
          <w:tcPr>
            <w:tcW w:type="dxa" w:w="4032"/>
            <w:shd w:fill="FFFFFF"/>
            <w:tcMar>
              <w:top w:w="80" w:type="dxa"/>
              <w:bottom w:w="80" w:type="dxa"/>
              <w:left w:w="120" w:type="dxa"/>
              <w:right w:w="120" w:type="dxa"/>
            </w:tcMar>
          </w:tcPr>
          <w:p>
            <w:r>
              <w:rPr>
                <w:b/>
                <w:color w:val="0F172A"/>
              </w:rPr>
              <w:t>Cumulative Churn Rate</w:t>
            </w:r>
          </w:p>
        </w:tc>
        <w:tc>
          <w:tcPr>
            <w:tcW w:type="dxa" w:w="3168"/>
            <w:shd w:fill="FFFFFF"/>
            <w:tcMar>
              <w:top w:w="80" w:type="dxa"/>
              <w:bottom w:w="80" w:type="dxa"/>
              <w:left w:w="120" w:type="dxa"/>
              <w:right w:w="120" w:type="dxa"/>
            </w:tcMar>
          </w:tcPr>
          <w:p>
            <w:r>
              <w:t>25.34% (3,801 Churned)</w:t>
            </w:r>
          </w:p>
        </w:tc>
        <w:tc>
          <w:tcPr>
            <w:tcW w:type="dxa" w:w="3600"/>
            <w:shd w:fill="FFFFFF"/>
            <w:tcMar>
              <w:top w:w="80" w:type="dxa"/>
              <w:bottom w:w="80" w:type="dxa"/>
              <w:left w:w="120" w:type="dxa"/>
              <w:right w:w="120" w:type="dxa"/>
            </w:tcMar>
          </w:tcPr>
          <w:p>
            <w:r>
              <w:t>Target &lt; 20.0% Post-Optimization</w:t>
            </w:r>
          </w:p>
        </w:tc>
      </w:tr>
      <w:tr>
        <w:tc>
          <w:tcPr>
            <w:tcW w:type="dxa" w:w="4032"/>
            <w:shd w:fill="F8FAFC"/>
            <w:tcMar>
              <w:top w:w="80" w:type="dxa"/>
              <w:bottom w:w="80" w:type="dxa"/>
              <w:left w:w="120" w:type="dxa"/>
              <w:right w:w="120" w:type="dxa"/>
            </w:tcMar>
          </w:tcPr>
          <w:p>
            <w:r>
              <w:rPr>
                <w:b/>
                <w:color w:val="0F172A"/>
              </w:rPr>
              <w:t>Average Content Completion Rate</w:t>
            </w:r>
          </w:p>
        </w:tc>
        <w:tc>
          <w:tcPr>
            <w:tcW w:type="dxa" w:w="3168"/>
            <w:shd w:fill="F8FAFC"/>
            <w:tcMar>
              <w:top w:w="80" w:type="dxa"/>
              <w:bottom w:w="80" w:type="dxa"/>
              <w:left w:w="120" w:type="dxa"/>
              <w:right w:w="120" w:type="dxa"/>
            </w:tcMar>
          </w:tcPr>
          <w:p>
            <w:r>
              <w:t>65.31%</w:t>
            </w:r>
          </w:p>
        </w:tc>
        <w:tc>
          <w:tcPr>
            <w:tcW w:type="dxa" w:w="3600"/>
            <w:shd w:fill="F8FAFC"/>
            <w:tcMar>
              <w:top w:w="80" w:type="dxa"/>
              <w:bottom w:w="80" w:type="dxa"/>
              <w:left w:w="120" w:type="dxa"/>
              <w:right w:w="120" w:type="dxa"/>
            </w:tcMar>
          </w:tcPr>
          <w:p>
            <w:r>
              <w:t>Target &gt; 60.0% Completion</w:t>
            </w:r>
          </w:p>
        </w:tc>
      </w:tr>
      <w:tr>
        <w:tc>
          <w:tcPr>
            <w:tcW w:type="dxa" w:w="4032"/>
            <w:shd w:fill="FFFFFF"/>
            <w:tcMar>
              <w:top w:w="80" w:type="dxa"/>
              <w:bottom w:w="80" w:type="dxa"/>
              <w:left w:w="120" w:type="dxa"/>
              <w:right w:w="120" w:type="dxa"/>
            </w:tcMar>
          </w:tcPr>
          <w:p>
            <w:r>
              <w:rPr>
                <w:b/>
                <w:color w:val="0F172A"/>
              </w:rPr>
              <w:t>Monthly Recurring Revenue (MRR)</w:t>
            </w:r>
          </w:p>
        </w:tc>
        <w:tc>
          <w:tcPr>
            <w:tcW w:type="dxa" w:w="3168"/>
            <w:shd w:fill="FFFFFF"/>
            <w:tcMar>
              <w:top w:w="80" w:type="dxa"/>
              <w:bottom w:w="80" w:type="dxa"/>
              <w:left w:w="120" w:type="dxa"/>
              <w:right w:w="120" w:type="dxa"/>
            </w:tcMar>
          </w:tcPr>
          <w:p>
            <w:r>
              <w:t>~$227,000 USD</w:t>
            </w:r>
          </w:p>
        </w:tc>
        <w:tc>
          <w:tcPr>
            <w:tcW w:type="dxa" w:w="3600"/>
            <w:shd w:fill="FFFFFF"/>
            <w:tcMar>
              <w:top w:w="80" w:type="dxa"/>
              <w:bottom w:w="80" w:type="dxa"/>
              <w:left w:w="120" w:type="dxa"/>
              <w:right w:w="120" w:type="dxa"/>
            </w:tcMar>
          </w:tcPr>
          <w:p>
            <w:r>
              <w:t>~$2.72M Annualized Run-Rate</w:t>
            </w:r>
          </w:p>
        </w:tc>
      </w:tr>
      <w:tr>
        <w:tc>
          <w:tcPr>
            <w:tcW w:type="dxa" w:w="4032"/>
            <w:shd w:fill="F8FAFC"/>
            <w:tcMar>
              <w:top w:w="80" w:type="dxa"/>
              <w:bottom w:w="80" w:type="dxa"/>
              <w:left w:w="120" w:type="dxa"/>
              <w:right w:w="120" w:type="dxa"/>
            </w:tcMar>
          </w:tcPr>
          <w:p>
            <w:r>
              <w:rPr>
                <w:b/>
                <w:color w:val="0F172A"/>
              </w:rPr>
              <w:t>Average Revenue Per User (ARPU)</w:t>
            </w:r>
          </w:p>
        </w:tc>
        <w:tc>
          <w:tcPr>
            <w:tcW w:type="dxa" w:w="3168"/>
            <w:shd w:fill="F8FAFC"/>
            <w:tcMar>
              <w:top w:w="80" w:type="dxa"/>
              <w:bottom w:w="80" w:type="dxa"/>
              <w:left w:w="120" w:type="dxa"/>
              <w:right w:w="120" w:type="dxa"/>
            </w:tcMar>
          </w:tcPr>
          <w:p>
            <w:r>
              <w:t>$20.27 / active user</w:t>
            </w:r>
          </w:p>
        </w:tc>
        <w:tc>
          <w:tcPr>
            <w:tcW w:type="dxa" w:w="3600"/>
            <w:shd w:fill="F8FAFC"/>
            <w:tcMar>
              <w:top w:w="80" w:type="dxa"/>
              <w:bottom w:w="80" w:type="dxa"/>
              <w:left w:w="120" w:type="dxa"/>
              <w:right w:w="120" w:type="dxa"/>
            </w:tcMar>
          </w:tcPr>
          <w:p>
            <w:r>
              <w:t>Maximize Premium Tier Share</w:t>
            </w:r>
          </w:p>
        </w:tc>
      </w:tr>
      <w:tr>
        <w:tc>
          <w:tcPr>
            <w:tcW w:type="dxa" w:w="4032"/>
            <w:shd w:fill="FFFFFF"/>
            <w:tcMar>
              <w:top w:w="80" w:type="dxa"/>
              <w:bottom w:w="80" w:type="dxa"/>
              <w:left w:w="120" w:type="dxa"/>
              <w:right w:w="120" w:type="dxa"/>
            </w:tcMar>
          </w:tcPr>
          <w:p>
            <w:r>
              <w:rPr>
                <w:b/>
                <w:color w:val="0F172A"/>
              </w:rPr>
              <w:t>Avg Watch Hours per Subscriber</w:t>
            </w:r>
          </w:p>
        </w:tc>
        <w:tc>
          <w:tcPr>
            <w:tcW w:type="dxa" w:w="3168"/>
            <w:shd w:fill="FFFFFF"/>
            <w:tcMar>
              <w:top w:w="80" w:type="dxa"/>
              <w:bottom w:w="80" w:type="dxa"/>
              <w:left w:w="120" w:type="dxa"/>
              <w:right w:w="120" w:type="dxa"/>
            </w:tcMar>
          </w:tcPr>
          <w:p>
            <w:r>
              <w:t>222.26 Watch Hours</w:t>
            </w:r>
          </w:p>
        </w:tc>
        <w:tc>
          <w:tcPr>
            <w:tcW w:type="dxa" w:w="3600"/>
            <w:shd w:fill="FFFFFF"/>
            <w:tcMar>
              <w:top w:w="80" w:type="dxa"/>
              <w:bottom w:w="80" w:type="dxa"/>
              <w:left w:w="120" w:type="dxa"/>
              <w:right w:w="120" w:type="dxa"/>
            </w:tcMar>
          </w:tcPr>
          <w:p>
            <w:r>
              <w:t>High Engagement Benchmark</w:t>
            </w:r>
          </w:p>
        </w:tc>
      </w:tr>
      <w:tr>
        <w:tc>
          <w:tcPr>
            <w:tcW w:type="dxa" w:w="4032"/>
            <w:shd w:fill="F8FAFC"/>
            <w:tcMar>
              <w:top w:w="80" w:type="dxa"/>
              <w:bottom w:w="80" w:type="dxa"/>
              <w:left w:w="120" w:type="dxa"/>
              <w:right w:w="120" w:type="dxa"/>
            </w:tcMar>
          </w:tcPr>
          <w:p>
            <w:r>
              <w:rPr>
                <w:b/>
                <w:color w:val="0F172A"/>
              </w:rPr>
              <w:t>Originals Catalogue Share</w:t>
            </w:r>
          </w:p>
        </w:tc>
        <w:tc>
          <w:tcPr>
            <w:tcW w:type="dxa" w:w="3168"/>
            <w:shd w:fill="F8FAFC"/>
            <w:tcMar>
              <w:top w:w="80" w:type="dxa"/>
              <w:bottom w:w="80" w:type="dxa"/>
              <w:left w:w="120" w:type="dxa"/>
              <w:right w:w="120" w:type="dxa"/>
            </w:tcMar>
          </w:tcPr>
          <w:p>
            <w:r>
              <w:t>21.84% (1,970 titles)</w:t>
            </w:r>
          </w:p>
        </w:tc>
        <w:tc>
          <w:tcPr>
            <w:tcW w:type="dxa" w:w="3600"/>
            <w:shd w:fill="F8FAFC"/>
            <w:tcMar>
              <w:top w:w="80" w:type="dxa"/>
              <w:bottom w:w="80" w:type="dxa"/>
              <w:left w:w="120" w:type="dxa"/>
              <w:right w:w="120" w:type="dxa"/>
            </w:tcMar>
          </w:tcPr>
          <w:p>
            <w:r>
              <w:t>Target 30.0% Strategic Share</w:t>
            </w:r>
          </w:p>
        </w:tc>
      </w:tr>
      <w:tr>
        <w:tc>
          <w:tcPr>
            <w:tcW w:type="dxa" w:w="4032"/>
            <w:shd w:fill="FFFFFF"/>
            <w:tcMar>
              <w:top w:w="80" w:type="dxa"/>
              <w:bottom w:w="80" w:type="dxa"/>
              <w:left w:w="120" w:type="dxa"/>
              <w:right w:w="120" w:type="dxa"/>
            </w:tcMar>
          </w:tcPr>
          <w:p>
            <w:r>
              <w:rPr>
                <w:b/>
                <w:color w:val="0F172A"/>
              </w:rPr>
              <w:t>Smart TV Engagement Share</w:t>
            </w:r>
          </w:p>
        </w:tc>
        <w:tc>
          <w:tcPr>
            <w:tcW w:type="dxa" w:w="3168"/>
            <w:shd w:fill="FFFFFF"/>
            <w:tcMar>
              <w:top w:w="80" w:type="dxa"/>
              <w:bottom w:w="80" w:type="dxa"/>
              <w:left w:w="120" w:type="dxa"/>
              <w:right w:w="120" w:type="dxa"/>
            </w:tcMar>
          </w:tcPr>
          <w:p>
            <w:r>
              <w:t>34.0% (1.13M Watch Hours)</w:t>
            </w:r>
          </w:p>
        </w:tc>
        <w:tc>
          <w:tcPr>
            <w:tcW w:type="dxa" w:w="3600"/>
            <w:shd w:fill="FFFFFF"/>
            <w:tcMar>
              <w:top w:w="80" w:type="dxa"/>
              <w:bottom w:w="80" w:type="dxa"/>
              <w:left w:w="120" w:type="dxa"/>
              <w:right w:w="120" w:type="dxa"/>
            </w:tcMar>
          </w:tcPr>
          <w:p>
            <w:r>
              <w:t>Core Living-Room Retention Moat</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