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CC46" w14:textId="77777777" w:rsidR="009E5BB0" w:rsidRDefault="00000000">
      <w:pPr>
        <w:pStyle w:val="Title"/>
      </w:pPr>
      <w:r>
        <w:t>Customer Churn Analysis - EDA with Visualizations</w:t>
      </w:r>
    </w:p>
    <w:p w14:paraId="42556482" w14:textId="77777777" w:rsidR="009E5BB0" w:rsidRDefault="00000000">
      <w:pPr>
        <w:pStyle w:val="Heading1"/>
      </w:pPr>
      <w:r>
        <w:t>1. Churn Distribution</w:t>
      </w:r>
    </w:p>
    <w:p w14:paraId="60FDA937" w14:textId="77777777" w:rsidR="009E5BB0" w:rsidRDefault="00000000">
      <w:r>
        <w:rPr>
          <w:noProof/>
        </w:rPr>
        <w:drawing>
          <wp:inline distT="0" distB="0" distL="0" distR="0" wp14:anchorId="23097E3E" wp14:editId="3E3CD59C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8296" w14:textId="77777777" w:rsidR="009E5BB0" w:rsidRDefault="00000000">
      <w:r>
        <w:t>This bar chart shows the overall distribution of churned vs non-churned customers. Although most customers are retained, a significant portion has churned, indicating the need for proactive retention strategies.</w:t>
      </w:r>
    </w:p>
    <w:p w14:paraId="0586D006" w14:textId="77777777" w:rsidR="00F944BB" w:rsidRDefault="00F944BB"/>
    <w:p w14:paraId="00D173BE" w14:textId="77777777" w:rsidR="00F944BB" w:rsidRDefault="00F944BB"/>
    <w:p w14:paraId="2ABD72BE" w14:textId="77777777" w:rsidR="00F944BB" w:rsidRDefault="00F944BB"/>
    <w:p w14:paraId="11572939" w14:textId="77777777" w:rsidR="00F944BB" w:rsidRDefault="00F944BB"/>
    <w:p w14:paraId="2A11ECF3" w14:textId="77777777" w:rsidR="00F944BB" w:rsidRDefault="00F944BB"/>
    <w:p w14:paraId="79F9D854" w14:textId="77777777" w:rsidR="00F944BB" w:rsidRDefault="00F944BB" w:rsidP="00F944BB">
      <w:pPr>
        <w:pStyle w:val="Heading2"/>
      </w:pPr>
      <w:r>
        <w:lastRenderedPageBreak/>
        <w:t>Tenure Distribution</w:t>
      </w:r>
    </w:p>
    <w:p w14:paraId="00ED0941" w14:textId="77777777" w:rsidR="00F944BB" w:rsidRDefault="00F944BB" w:rsidP="00F944BB">
      <w:r>
        <w:rPr>
          <w:noProof/>
        </w:rPr>
        <w:drawing>
          <wp:inline distT="0" distB="0" distL="0" distR="0" wp14:anchorId="02C11F70" wp14:editId="45DFB400">
            <wp:extent cx="5029200" cy="4145446"/>
            <wp:effectExtent l="0" t="0" r="0" b="0"/>
            <wp:docPr id="391753481" name="Picture 391753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6C69" w14:textId="77777777" w:rsidR="00504646" w:rsidRDefault="00504646" w:rsidP="00504646">
      <w:pPr>
        <w:pStyle w:val="NormalWeb"/>
      </w:pPr>
      <w:r>
        <w:t xml:space="preserve">The data shows a </w:t>
      </w:r>
      <w:r>
        <w:rPr>
          <w:b/>
          <w:bCs/>
        </w:rPr>
        <w:t>"U-shaped" trend</w:t>
      </w:r>
      <w:r>
        <w:t>, where the highest concentrations of customers are either brand new (0–5 months) or highly loyal (70+ months), suggesting that the first few months are the most critical for customer retention.</w:t>
      </w:r>
    </w:p>
    <w:p w14:paraId="39D81642" w14:textId="77777777" w:rsidR="00504646" w:rsidRDefault="00504646" w:rsidP="00F944BB"/>
    <w:p w14:paraId="2088A3F5" w14:textId="77777777" w:rsidR="00F944BB" w:rsidRDefault="00F944BB" w:rsidP="00F944BB">
      <w:pPr>
        <w:pStyle w:val="Heading2"/>
      </w:pPr>
      <w:r>
        <w:lastRenderedPageBreak/>
        <w:t>Monthly Charges Distribution</w:t>
      </w:r>
    </w:p>
    <w:p w14:paraId="3506C154" w14:textId="77777777" w:rsidR="00F944BB" w:rsidRDefault="00F944BB" w:rsidP="00F944BB">
      <w:r>
        <w:rPr>
          <w:noProof/>
        </w:rPr>
        <w:drawing>
          <wp:inline distT="0" distB="0" distL="0" distR="0" wp14:anchorId="32093334" wp14:editId="25FE1C25">
            <wp:extent cx="5029200" cy="4086225"/>
            <wp:effectExtent l="0" t="0" r="0" b="0"/>
            <wp:docPr id="1315465697" name="Picture 1315465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9468" w14:textId="2B82C13B" w:rsidR="00504646" w:rsidRDefault="00504646" w:rsidP="00F944BB">
      <w:r>
        <w:t xml:space="preserve">The distribution is </w:t>
      </w:r>
      <w:r>
        <w:rPr>
          <w:b/>
          <w:bCs/>
        </w:rPr>
        <w:t>bimodal</w:t>
      </w:r>
      <w:r>
        <w:t>, with a massive spike of customers paying the minimum (around 20) and another significant cluster paying higher rates between 70 and 100, indicating a split between basic and premium service tiers.</w:t>
      </w:r>
    </w:p>
    <w:p w14:paraId="5F3371E4" w14:textId="64A067E8" w:rsidR="00F944BB" w:rsidRDefault="00F944BB" w:rsidP="00F944BB">
      <w:pPr>
        <w:pStyle w:val="Heading2"/>
      </w:pPr>
      <w:r>
        <w:lastRenderedPageBreak/>
        <w:t>3.</w:t>
      </w:r>
      <w:r>
        <w:t>Total Charges Distribution</w:t>
      </w:r>
    </w:p>
    <w:p w14:paraId="25322C8E" w14:textId="1D8CE325" w:rsidR="00F944BB" w:rsidRDefault="00F944BB" w:rsidP="00F944BB">
      <w:r>
        <w:rPr>
          <w:noProof/>
        </w:rPr>
        <w:drawing>
          <wp:inline distT="0" distB="0" distL="0" distR="0" wp14:anchorId="208A9182" wp14:editId="7EFCE870">
            <wp:extent cx="5029200" cy="4086225"/>
            <wp:effectExtent l="0" t="0" r="0" b="0"/>
            <wp:docPr id="1085019203" name="Picture 1085019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F6EA" w14:textId="77777777" w:rsidR="00F944BB" w:rsidRDefault="00F944BB" w:rsidP="00F944BB"/>
    <w:p w14:paraId="2B5E0856" w14:textId="77777777" w:rsidR="00F944BB" w:rsidRDefault="00F944BB" w:rsidP="00F944BB"/>
    <w:p w14:paraId="3154606E" w14:textId="77777777" w:rsidR="00F944BB" w:rsidRPr="00F944BB" w:rsidRDefault="00F944BB" w:rsidP="00F944BB"/>
    <w:p w14:paraId="1CF20F2B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6805AFDD" w14:textId="480C497B" w:rsidR="00F944BB" w:rsidRDefault="00504646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  <w:r>
        <w:t xml:space="preserve">The distribution is </w:t>
      </w:r>
      <w:r>
        <w:rPr>
          <w:b/>
          <w:bCs/>
        </w:rPr>
        <w:t>heavily right-skewed</w:t>
      </w:r>
      <w:r>
        <w:t>, showing that a vast majority of customers have low cumulative lifetime charges, with the frequency dropping sharply as total charges exceed 2,000.</w:t>
      </w:r>
    </w:p>
    <w:p w14:paraId="426580F0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4A2CC04B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0FFA37B0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179D82BD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62CCE183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7FCBDB99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099417A7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137BEB70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7349486F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3223C8E5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7D35C15C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32E36583" w14:textId="77777777" w:rsidR="00F944BB" w:rsidRDefault="00F944BB" w:rsidP="00F944BB">
      <w:pPr>
        <w:pStyle w:val="NoSpacing"/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</w:pPr>
    </w:p>
    <w:p w14:paraId="039C5813" w14:textId="60262842" w:rsidR="00F944BB" w:rsidRPr="00F944BB" w:rsidRDefault="00F944BB" w:rsidP="00F944BB">
      <w:pPr>
        <w:pStyle w:val="NoSpacing"/>
        <w:rPr>
          <w:rFonts w:ascii="Menlo" w:eastAsia="Times New Roman" w:hAnsi="Menlo" w:cs="Menlo"/>
          <w:color w:val="CCCCCC"/>
          <w:sz w:val="26"/>
          <w:szCs w:val="26"/>
          <w:lang w:val="en-IN" w:eastAsia="en-GB"/>
        </w:rPr>
      </w:pPr>
      <w:r w:rsidRPr="00F944BB">
        <w:rPr>
          <w:rFonts w:ascii="Menlo" w:eastAsia="Times New Roman" w:hAnsi="Menlo" w:cs="Menlo"/>
          <w:color w:val="6A9955"/>
          <w:sz w:val="26"/>
          <w:szCs w:val="26"/>
          <w:lang w:val="en-IN" w:eastAsia="en-GB"/>
        </w:rPr>
        <w:t xml:space="preserve">4. Categorical Feature </w:t>
      </w:r>
      <w:r w:rsidRPr="00F944BB">
        <w:rPr>
          <w:rStyle w:val="Heading1Char"/>
          <w:lang w:val="en-IN" w:eastAsia="en-GB"/>
        </w:rPr>
        <w:t>Analysis vs Churn</w:t>
      </w:r>
    </w:p>
    <w:p w14:paraId="180BAC01" w14:textId="20449F34" w:rsidR="009E5BB0" w:rsidRDefault="00F944BB">
      <w:pPr>
        <w:pStyle w:val="Heading1"/>
      </w:pPr>
      <w:r>
        <w:t>4</w:t>
      </w:r>
      <w:r w:rsidR="00000000">
        <w:t>. Churn by Contract Type</w:t>
      </w:r>
    </w:p>
    <w:p w14:paraId="12D2716A" w14:textId="77777777" w:rsidR="009E5BB0" w:rsidRDefault="00000000">
      <w:r>
        <w:rPr>
          <w:noProof/>
        </w:rPr>
        <w:drawing>
          <wp:inline distT="0" distB="0" distL="0" distR="0" wp14:anchorId="3EDB8748" wp14:editId="06E1A52F">
            <wp:extent cx="5852160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cont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BB30" w14:textId="77777777" w:rsidR="009E5BB0" w:rsidRDefault="00000000">
      <w:r>
        <w:t>Customers on month-to-month contracts show significantly higher churn compared to one-year or two-year contracts. Longer contracts indicate stronger customer commitment.</w:t>
      </w:r>
    </w:p>
    <w:p w14:paraId="29FAE573" w14:textId="77777777" w:rsidR="009E5BB0" w:rsidRDefault="00000000">
      <w:pPr>
        <w:pStyle w:val="Heading1"/>
      </w:pPr>
      <w:r>
        <w:lastRenderedPageBreak/>
        <w:t>3. Tenure vs Churn</w:t>
      </w:r>
    </w:p>
    <w:p w14:paraId="19412B6C" w14:textId="77777777" w:rsidR="009E5BB0" w:rsidRDefault="00000000">
      <w:r>
        <w:rPr>
          <w:noProof/>
        </w:rPr>
        <w:drawing>
          <wp:inline distT="0" distB="0" distL="0" distR="0" wp14:anchorId="198AAF41" wp14:editId="78720669">
            <wp:extent cx="5852160" cy="4389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_vs_ch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7C03" w14:textId="77777777" w:rsidR="009E5BB0" w:rsidRDefault="00000000">
      <w:r>
        <w:t>This box plot shows that customers who churn generally have lower tenure. Early-stage customers are more likely to leave, emphasizing the importance of strong onboarding and early engagement.</w:t>
      </w:r>
    </w:p>
    <w:p w14:paraId="43417E9E" w14:textId="5E3ED332" w:rsidR="009E5BB0" w:rsidRDefault="00000000">
      <w:pPr>
        <w:pStyle w:val="Heading1"/>
      </w:pPr>
      <w:r>
        <w:lastRenderedPageBreak/>
        <w:t>4. Internet Service vs Churn</w:t>
      </w:r>
    </w:p>
    <w:p w14:paraId="42A35315" w14:textId="77777777" w:rsidR="009E5BB0" w:rsidRDefault="00000000">
      <w:r>
        <w:rPr>
          <w:noProof/>
        </w:rPr>
        <w:drawing>
          <wp:inline distT="0" distB="0" distL="0" distR="0" wp14:anchorId="496CD405" wp14:editId="6F0E909E">
            <wp:extent cx="5852160" cy="438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intern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24BF" w14:textId="77777777" w:rsidR="009E5BB0" w:rsidRDefault="00000000">
      <w:r>
        <w:t>Fiber optic customers show higher churn compared to DSL users. This may indicate pricing concerns or service quality issues that require further investigation.</w:t>
      </w:r>
    </w:p>
    <w:p w14:paraId="4B5AFEEA" w14:textId="62F3D995" w:rsidR="00567C18" w:rsidRDefault="00567C18"/>
    <w:p w14:paraId="54A15898" w14:textId="77777777" w:rsidR="00567C18" w:rsidRDefault="00567C18"/>
    <w:p w14:paraId="7A923A59" w14:textId="77777777" w:rsidR="00567C18" w:rsidRDefault="00567C18"/>
    <w:p w14:paraId="55517358" w14:textId="77777777" w:rsidR="00567C18" w:rsidRDefault="00567C18"/>
    <w:p w14:paraId="3E6C7461" w14:textId="77777777" w:rsidR="00567C18" w:rsidRDefault="00567C18"/>
    <w:p w14:paraId="235AD4A4" w14:textId="77777777" w:rsidR="00567C18" w:rsidRDefault="00567C18"/>
    <w:p w14:paraId="7FE0A842" w14:textId="77777777" w:rsidR="00567C18" w:rsidRDefault="00567C18"/>
    <w:p w14:paraId="749FA755" w14:textId="77777777" w:rsidR="00567C18" w:rsidRDefault="00567C18"/>
    <w:p w14:paraId="4DB823D4" w14:textId="77777777" w:rsidR="00567C18" w:rsidRDefault="00567C18"/>
    <w:p w14:paraId="2CCEB4EA" w14:textId="77777777" w:rsidR="00567C18" w:rsidRDefault="00567C18"/>
    <w:p w14:paraId="34ABFCE4" w14:textId="6111F874" w:rsidR="00567C18" w:rsidRDefault="00567C18" w:rsidP="00567C18">
      <w:pPr>
        <w:pStyle w:val="Heading1"/>
      </w:pPr>
      <w:r>
        <w:t>5</w:t>
      </w:r>
      <w:r>
        <w:t>. Churn</w:t>
      </w:r>
      <w:r>
        <w:t xml:space="preserve"> vs Senior Citizen</w:t>
      </w:r>
    </w:p>
    <w:p w14:paraId="2C9D96B9" w14:textId="77777777" w:rsidR="00567C18" w:rsidRDefault="00567C18"/>
    <w:p w14:paraId="6C77A7D3" w14:textId="456E2CA2" w:rsidR="00567C18" w:rsidRDefault="00567C18">
      <w:r w:rsidRPr="00FB3136">
        <w:drawing>
          <wp:inline distT="0" distB="0" distL="0" distR="0" wp14:anchorId="2EB31ABE" wp14:editId="44969691">
            <wp:extent cx="5486400" cy="4143375"/>
            <wp:effectExtent l="0" t="0" r="0" b="0"/>
            <wp:docPr id="19053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6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F8E7" w14:textId="7CA754B9" w:rsidR="00504646" w:rsidRDefault="00504646">
      <w:r>
        <w:t xml:space="preserve">While the total number of senior citizen customers (represented by "1") is much smaller than the non-senior group, they exhibit a </w:t>
      </w:r>
      <w:r>
        <w:rPr>
          <w:b/>
          <w:bCs/>
        </w:rPr>
        <w:t>disproportionately high churn rate</w:t>
      </w:r>
      <w:r>
        <w:t>, with nearly half of all senior customers choosing to leave the service.</w:t>
      </w:r>
    </w:p>
    <w:sectPr w:rsidR="005046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96869">
    <w:abstractNumId w:val="8"/>
  </w:num>
  <w:num w:numId="2" w16cid:durableId="1316254938">
    <w:abstractNumId w:val="6"/>
  </w:num>
  <w:num w:numId="3" w16cid:durableId="1751730703">
    <w:abstractNumId w:val="5"/>
  </w:num>
  <w:num w:numId="4" w16cid:durableId="1927494049">
    <w:abstractNumId w:val="4"/>
  </w:num>
  <w:num w:numId="5" w16cid:durableId="506287336">
    <w:abstractNumId w:val="7"/>
  </w:num>
  <w:num w:numId="6" w16cid:durableId="586815796">
    <w:abstractNumId w:val="3"/>
  </w:num>
  <w:num w:numId="7" w16cid:durableId="1313289921">
    <w:abstractNumId w:val="2"/>
  </w:num>
  <w:num w:numId="8" w16cid:durableId="1945652918">
    <w:abstractNumId w:val="1"/>
  </w:num>
  <w:num w:numId="9" w16cid:durableId="35881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F1E"/>
    <w:rsid w:val="0029639D"/>
    <w:rsid w:val="00326F90"/>
    <w:rsid w:val="00504646"/>
    <w:rsid w:val="00567C18"/>
    <w:rsid w:val="009E5BB0"/>
    <w:rsid w:val="00AA1D8D"/>
    <w:rsid w:val="00B47730"/>
    <w:rsid w:val="00CB0664"/>
    <w:rsid w:val="00F94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F3AA5"/>
  <w14:defaultImageDpi w14:val="300"/>
  <w15:docId w15:val="{73AB40CD-B80D-BA4E-BB0D-7B925318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4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Moin Salar Raza</cp:lastModifiedBy>
  <cp:revision>2</cp:revision>
  <dcterms:created xsi:type="dcterms:W3CDTF">2026-01-16T18:41:00Z</dcterms:created>
  <dcterms:modified xsi:type="dcterms:W3CDTF">2026-01-16T18:41:00Z</dcterms:modified>
  <cp:category/>
</cp:coreProperties>
</file>