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p>
    <w:p>
      <w:pPr>
        <w:spacing w:after="60" w:before="0"/>
        <w:jc w:val="center"/>
      </w:pPr>
      <w:r>
        <w:rPr>
          <w:rFonts w:ascii="Arial" w:cs="Arial" w:eastAsia="Arial" w:hAnsi="Arial"/>
          <w:b/>
          <w:bCs/>
          <w:color w:val="1F4E79"/>
          <w:sz w:val="48"/>
          <w:szCs w:val="48"/>
        </w:rPr>
        <w:t xml:space="preserve">DISASTER RECOVERY DESIGN DOCUMENT</w:t>
      </w:r>
    </w:p>
    <w:p>
      <w:pPr>
        <w:spacing w:after="60" w:before="60"/>
        <w:jc w:val="center"/>
      </w:pPr>
      <w:r>
        <w:rPr>
          <w:rFonts w:ascii="Arial" w:cs="Arial" w:eastAsia="Arial" w:hAnsi="Arial"/>
          <w:color w:val="2E74B5"/>
          <w:sz w:val="32"/>
          <w:szCs w:val="32"/>
        </w:rPr>
        <w:t xml:space="preserve">TaskFlow — AWS EKS Multi-Region Infrastructure</w:t>
      </w:r>
    </w:p>
    <w:p>
      <w:pPr>
        <w:pBdr>
          <w:bottom w:val="single" w:color="2E74B5" w:sz="8" w:space="2"/>
        </w:pBdr>
        <w:spacing w:after="0" w:before="0"/>
      </w:pPr>
    </w:p>
    <w:p>
      <w:pPr>
        <w:spacing w:after="60" w:before="240"/>
        <w:jc w:val="center"/>
      </w:pPr>
      <w:r>
        <w:rPr>
          <w:rFonts w:ascii="Arial" w:cs="Arial" w:eastAsia="Arial" w:hAnsi="Arial"/>
          <w:i/>
          <w:iCs/>
          <w:color w:val="666666"/>
          <w:sz w:val="22"/>
          <w:szCs w:val="22"/>
        </w:rPr>
        <w:t xml:space="preserve">Classification: Internal / Confidential</w:t>
      </w:r>
    </w:p>
    <w:p>
      <w:pPr>
        <w:spacing w:after="60" w:before="60"/>
        <w:jc w:val="center"/>
      </w:pPr>
      <w:r>
        <w:rPr>
          <w:rFonts w:ascii="Arial" w:cs="Arial" w:eastAsia="Arial" w:hAnsi="Arial"/>
          <w:color w:val="333333"/>
          <w:sz w:val="22"/>
          <w:szCs w:val="22"/>
        </w:rPr>
        <w:t xml:space="preserve">Prepared by: Salah Abbasi</w:t>
      </w:r>
    </w:p>
    <w:p>
      <w:pPr>
        <w:spacing w:after="60" w:before="60"/>
        <w:jc w:val="center"/>
      </w:pPr>
      <w:r>
        <w:rPr>
          <w:rFonts w:ascii="Arial" w:cs="Arial" w:eastAsia="Arial" w:hAnsi="Arial"/>
          <w:color w:val="333333"/>
          <w:sz w:val="22"/>
          <w:szCs w:val="22"/>
        </w:rPr>
        <w:t xml:space="preserve">Version: 1.0</w:t>
      </w:r>
    </w:p>
    <w:p>
      <w:pPr>
        <w:spacing w:after="60" w:before="60"/>
        <w:jc w:val="center"/>
      </w:pPr>
      <w:r>
        <w:rPr>
          <w:rFonts w:ascii="Arial" w:cs="Arial" w:eastAsia="Arial" w:hAnsi="Arial"/>
          <w:color w:val="333333"/>
          <w:sz w:val="22"/>
          <w:szCs w:val="22"/>
        </w:rPr>
        <w:t xml:space="preserve">Environment: AWS ap-south-1 (Mumbai) → ap-south-2 (Hyderabad)</w:t>
      </w:r>
    </w:p>
    <w:p>
      <w:r>
        <w:br w:type="page"/>
      </w:r>
    </w:p>
    <w:p>
      <w:pPr>
        <w:pStyle w:val="Heading1"/>
        <w:spacing w:after="120" w:before="360"/>
      </w:pPr>
      <w:r>
        <w:rPr>
          <w:rFonts w:ascii="Arial" w:cs="Arial" w:eastAsia="Arial" w:hAnsi="Arial"/>
          <w:b/>
          <w:bCs/>
          <w:color w:val="1F4E79"/>
          <w:sz w:val="32"/>
          <w:szCs w:val="32"/>
        </w:rPr>
        <w:t xml:space="preserve">1. Executive Summary</w:t>
      </w:r>
    </w:p>
    <w:p>
      <w:pPr>
        <w:pBdr>
          <w:bottom w:val="single" w:color="2E74B5" w:sz="4" w:space="1"/>
        </w:pBdr>
        <w:spacing w:after="120" w:before="120"/>
      </w:pPr>
    </w:p>
    <w:p>
      <w:pPr>
        <w:spacing w:after="80" w:before="80"/>
      </w:pPr>
      <w:r>
        <w:rPr>
          <w:rFonts w:ascii="Arial" w:cs="Arial" w:eastAsia="Arial" w:hAnsi="Arial"/>
          <w:sz w:val="22"/>
          <w:szCs w:val="22"/>
        </w:rPr>
        <w:t xml:space="preserve">This document defines the Disaster Recovery (DR) design for TaskFlow, a Kanban-style three-tier application deployed on AWS Elastic Kubernetes Service (EKS). The infrastructure spans two AWS regions: ap-south-1 (Mumbai) as the Active region and ap-south-2 (Hyderabad) as the Disaster Recovery region, connected via AWS Transit Gateway peering and EFS cross-region replication.</w:t>
      </w:r>
    </w:p>
    <w:p>
      <w:pPr>
        <w:spacing w:after="80" w:before="80"/>
      </w:pPr>
      <w:r>
        <w:rPr>
          <w:rFonts w:ascii="Arial" w:cs="Arial" w:eastAsia="Arial" w:hAnsi="Arial"/>
          <w:sz w:val="22"/>
          <w:szCs w:val="22"/>
        </w:rPr>
        <w:t xml:space="preserve">The DR strategy follows an Active-DR (Warm Standby) model. The primary design goals are to minimise unplanned downtime, protect persistent data, and ensure that recovery is a rehearsed, documented process — not an improvised one.</w:t>
      </w:r>
    </w:p>
    <w:p>
      <w:r>
        <w:br w:type="page"/>
      </w:r>
    </w:p>
    <w:p>
      <w:pPr>
        <w:pStyle w:val="Heading1"/>
        <w:spacing w:after="120" w:before="360"/>
      </w:pPr>
      <w:r>
        <w:rPr>
          <w:rFonts w:ascii="Arial" w:cs="Arial" w:eastAsia="Arial" w:hAnsi="Arial"/>
          <w:b/>
          <w:bCs/>
          <w:color w:val="1F4E79"/>
          <w:sz w:val="32"/>
          <w:szCs w:val="32"/>
        </w:rPr>
        <w:t xml:space="preserve">2. Architecture Overview</w:t>
      </w:r>
    </w:p>
    <w:p>
      <w:pPr>
        <w:pBdr>
          <w:bottom w:val="single" w:color="2E74B5" w:sz="4" w:space="1"/>
        </w:pBdr>
        <w:spacing w:after="120" w:before="120"/>
      </w:pPr>
    </w:p>
    <w:p>
      <w:pPr>
        <w:spacing w:after="80" w:before="80"/>
      </w:pPr>
      <w:r>
        <w:rPr>
          <w:rFonts w:ascii="Arial" w:cs="Arial" w:eastAsia="Arial" w:hAnsi="Arial"/>
          <w:sz w:val="22"/>
          <w:szCs w:val="22"/>
        </w:rPr>
        <w:t xml:space="preserve">The following components constitute the production and DR topology: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860"/>
      </w:tblGrid>
      <w:tr>
        <w:tc>
          <w:tcPr>
            <w:tcW w:type="dxa" w:w="3000"/>
            <w:gridSpan w:val="1"/>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Component</w:t>
            </w:r>
          </w:p>
        </w:tc>
        <w:tc>
          <w:tcPr>
            <w:tcW w:type="dxa" w:w="2500"/>
            <w:gridSpan w:val="1"/>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Mumbai (Active)</w:t>
            </w:r>
          </w:p>
        </w:tc>
        <w:tc>
          <w:tcPr>
            <w:tcW w:type="dxa" w:w="3860"/>
            <w:gridSpan w:val="1"/>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Hyderabad (DR)</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EKS Cluster</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pip (ap-south-1)</w:t>
            </w:r>
          </w:p>
        </w:tc>
        <w:tc>
          <w:tcPr>
            <w:tcW w:type="dxa" w:w="3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pip-dr (ap-south-2)</w:t>
            </w:r>
          </w:p>
        </w:tc>
      </w:tr>
      <w:tr>
        <w:tc>
          <w:tcPr>
            <w:tcW w:type="dxa" w:w="30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sz w:val="20"/>
                <w:szCs w:val="20"/>
              </w:rPr>
              <w:t xml:space="preserve">Application Load Balancer</w:t>
            </w:r>
          </w:p>
        </w:tc>
        <w:tc>
          <w:tcPr>
            <w:tcW w:type="dxa" w:w="25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sz w:val="20"/>
                <w:szCs w:val="20"/>
              </w:rPr>
              <w:t xml:space="preserve">Active, traffic-serving</w:t>
            </w:r>
          </w:p>
        </w:tc>
        <w:tc>
          <w:tcPr>
            <w:tcW w:type="dxa" w:w="386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sz w:val="20"/>
                <w:szCs w:val="20"/>
              </w:rPr>
              <w:t xml:space="preserve">Standby, pre-provisioned</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Workloads</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Frontend, Backend, DB</w:t>
            </w:r>
          </w:p>
        </w:tc>
        <w:tc>
          <w:tcPr>
            <w:tcW w:type="dxa" w:w="3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Mirrored, scaled-down</w:t>
            </w:r>
          </w:p>
        </w:tc>
      </w:tr>
      <w:tr>
        <w:tc>
          <w:tcPr>
            <w:tcW w:type="dxa" w:w="30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sz w:val="20"/>
                <w:szCs w:val="20"/>
              </w:rPr>
              <w:t xml:space="preserve">EFS</w:t>
            </w:r>
          </w:p>
        </w:tc>
        <w:tc>
          <w:tcPr>
            <w:tcW w:type="dxa" w:w="25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sz w:val="20"/>
                <w:szCs w:val="20"/>
              </w:rPr>
              <w:t xml:space="preserve">Primary file system</w:t>
            </w:r>
          </w:p>
        </w:tc>
        <w:tc>
          <w:tcPr>
            <w:tcW w:type="dxa" w:w="386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sz w:val="20"/>
                <w:szCs w:val="20"/>
              </w:rPr>
              <w:t xml:space="preserve">Cross-region replication target</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Observability</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CloudWatch + Prometheus + Grafana</w:t>
            </w:r>
          </w:p>
        </w:tc>
        <w:tc>
          <w:tcPr>
            <w:tcW w:type="dxa" w:w="3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Independent stack (identical)</w:t>
            </w:r>
          </w:p>
        </w:tc>
      </w:tr>
      <w:tr>
        <w:tc>
          <w:tcPr>
            <w:tcW w:type="dxa" w:w="30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sz w:val="20"/>
                <w:szCs w:val="20"/>
              </w:rPr>
              <w:t xml:space="preserve">Secrets Manager</w:t>
            </w:r>
          </w:p>
        </w:tc>
        <w:tc>
          <w:tcPr>
            <w:tcW w:type="dxa" w:w="25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sz w:val="20"/>
                <w:szCs w:val="20"/>
              </w:rPr>
              <w:t xml:space="preserve">pip/dev/taskflow/app | /db</w:t>
            </w:r>
          </w:p>
        </w:tc>
        <w:tc>
          <w:tcPr>
            <w:tcW w:type="dxa" w:w="386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sz w:val="20"/>
                <w:szCs w:val="20"/>
              </w:rPr>
              <w:t xml:space="preserve">Replicated secrets</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Route 53</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Active DNS routing</w:t>
            </w:r>
          </w:p>
        </w:tc>
        <w:tc>
          <w:tcPr>
            <w:tcW w:type="dxa" w:w="3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Health-check-based failover</w:t>
            </w:r>
          </w:p>
        </w:tc>
      </w:tr>
      <w:tr>
        <w:tc>
          <w:tcPr>
            <w:tcW w:type="dxa" w:w="30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sz w:val="20"/>
                <w:szCs w:val="20"/>
              </w:rPr>
              <w:t xml:space="preserve">WAF</w:t>
            </w:r>
          </w:p>
        </w:tc>
        <w:tc>
          <w:tcPr>
            <w:tcW w:type="dxa" w:w="25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sz w:val="20"/>
                <w:szCs w:val="20"/>
              </w:rPr>
              <w:t xml:space="preserve">Associated with ALB</w:t>
            </w:r>
          </w:p>
        </w:tc>
        <w:tc>
          <w:tcPr>
            <w:tcW w:type="dxa" w:w="386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sz w:val="20"/>
                <w:szCs w:val="20"/>
              </w:rPr>
              <w:t xml:space="preserve">Associated with DR ALB</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Transit Gateway</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ap-south-1 TGW</w:t>
            </w:r>
          </w:p>
        </w:tc>
        <w:tc>
          <w:tcPr>
            <w:tcW w:type="dxa" w:w="3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ap-south-2 TGW (peered)</w:t>
            </w:r>
          </w:p>
        </w:tc>
      </w:tr>
    </w:tbl>
    <w:p>
      <w:pPr>
        <w:spacing w:after="80" w:before="80"/>
      </w:pPr>
      <w:r>
        <w:rPr>
          <w:rFonts w:ascii="Arial" w:cs="Arial" w:eastAsia="Arial" w:hAnsi="Arial"/>
          <w:sz w:val="22"/>
          <w:szCs w:val="22"/>
        </w:rPr>
        <w:t xml:space="preserve"/>
      </w:r>
    </w:p>
    <w:p>
      <w:r>
        <w:br w:type="page"/>
      </w:r>
    </w:p>
    <w:p>
      <w:pPr>
        <w:pStyle w:val="Heading1"/>
        <w:spacing w:after="120" w:before="360"/>
      </w:pPr>
      <w:r>
        <w:rPr>
          <w:rFonts w:ascii="Arial" w:cs="Arial" w:eastAsia="Arial" w:hAnsi="Arial"/>
          <w:b/>
          <w:bCs/>
          <w:color w:val="1F4E79"/>
          <w:sz w:val="32"/>
          <w:szCs w:val="32"/>
        </w:rPr>
        <w:t xml:space="preserve">3. Failure Scenarios</w:t>
      </w:r>
    </w:p>
    <w:p>
      <w:pPr>
        <w:pBdr>
          <w:bottom w:val="single" w:color="2E74B5" w:sz="4" w:space="1"/>
        </w:pBdr>
        <w:spacing w:after="120" w:before="120"/>
      </w:pPr>
    </w:p>
    <w:p>
      <w:pPr>
        <w:spacing w:after="80" w:before="80"/>
      </w:pPr>
      <w:r>
        <w:rPr>
          <w:rFonts w:ascii="Arial" w:cs="Arial" w:eastAsia="Arial" w:hAnsi="Arial"/>
          <w:sz w:val="22"/>
          <w:szCs w:val="22"/>
        </w:rPr>
        <w:t xml:space="preserve">Failures in this environment can occur at three distinct blast-radius levels. Each level demands a different response and has materially different RTO/RPO implications.</w:t>
      </w:r>
    </w:p>
    <w:p>
      <w:pPr>
        <w:pStyle w:val="Heading2"/>
        <w:spacing w:after="80" w:before="280"/>
      </w:pPr>
      <w:r>
        <w:rPr>
          <w:rFonts w:ascii="Arial" w:cs="Arial" w:eastAsia="Arial" w:hAnsi="Arial"/>
          <w:b/>
          <w:bCs/>
          <w:color w:val="2E74B5"/>
          <w:sz w:val="26"/>
          <w:szCs w:val="26"/>
        </w:rPr>
        <w:t xml:space="preserve">3.1 Pod / Node Failure (Cluster-Level)</w:t>
      </w:r>
    </w:p>
    <w:p>
      <w:pPr>
        <w:spacing w:after="80" w:before="80"/>
      </w:pPr>
      <w:r>
        <w:rPr>
          <w:rFonts w:ascii="Arial" w:cs="Arial" w:eastAsia="Arial" w:hAnsi="Arial"/>
          <w:sz w:val="22"/>
          <w:szCs w:val="22"/>
        </w:rPr>
        <w:t xml:space="preserve">This is the most common and lowest-impact failure class. Examples include:</w:t>
      </w:r>
    </w:p>
    <w:p>
      <w:pPr>
        <w:pStyle w:val="ListParagraph"/>
        <w:numPr>
          <w:ilvl w:val="0"/>
          <w:numId w:val="2"/>
        </w:numPr>
        <w:spacing w:after="60" w:before="60"/>
      </w:pPr>
      <w:r>
        <w:rPr>
          <w:rFonts w:ascii="Arial" w:cs="Arial" w:eastAsia="Arial" w:hAnsi="Arial"/>
          <w:sz w:val="22"/>
          <w:szCs w:val="22"/>
        </w:rPr>
        <w:t xml:space="preserve">OOMKilled pods due to misconfigured resource limits on the Node.js backend</w:t>
      </w:r>
    </w:p>
    <w:p>
      <w:pPr>
        <w:pStyle w:val="ListParagraph"/>
        <w:numPr>
          <w:ilvl w:val="0"/>
          <w:numId w:val="2"/>
        </w:numPr>
        <w:spacing w:after="60" w:before="60"/>
      </w:pPr>
      <w:r>
        <w:rPr>
          <w:rFonts w:ascii="Arial" w:cs="Arial" w:eastAsia="Arial" w:hAnsi="Arial"/>
          <w:sz w:val="22"/>
          <w:szCs w:val="22"/>
        </w:rPr>
        <w:t xml:space="preserve">EC2 node instance failure or spot interruption on a worker node</w:t>
      </w:r>
    </w:p>
    <w:p>
      <w:pPr>
        <w:pStyle w:val="ListParagraph"/>
        <w:numPr>
          <w:ilvl w:val="0"/>
          <w:numId w:val="2"/>
        </w:numPr>
        <w:spacing w:after="60" w:before="60"/>
      </w:pPr>
      <w:r>
        <w:rPr>
          <w:rFonts w:ascii="Arial" w:cs="Arial" w:eastAsia="Arial" w:hAnsi="Arial"/>
          <w:sz w:val="22"/>
          <w:szCs w:val="22"/>
        </w:rPr>
        <w:t xml:space="preserve">CrashLoopBackOff on the frontend or backend Deployment</w:t>
      </w:r>
    </w:p>
    <w:p>
      <w:pPr>
        <w:pStyle w:val="ListParagraph"/>
        <w:numPr>
          <w:ilvl w:val="0"/>
          <w:numId w:val="2"/>
        </w:numPr>
        <w:spacing w:after="60" w:before="60"/>
      </w:pPr>
      <w:r>
        <w:rPr>
          <w:rFonts w:ascii="Arial" w:cs="Arial" w:eastAsia="Arial" w:hAnsi="Arial"/>
          <w:sz w:val="22"/>
          <w:szCs w:val="22"/>
        </w:rPr>
        <w:t xml:space="preserve">Broken ConfigMap or Secret mount preventing pod startup</w:t>
      </w:r>
    </w:p>
    <w:p>
      <w:pPr>
        <w:spacing w:after="80" w:before="80"/>
      </w:pPr>
      <w:r>
        <w:rPr>
          <w:rFonts w:ascii="Arial" w:cs="Arial" w:eastAsia="Arial" w:hAnsi="Arial"/>
          <w:sz w:val="22"/>
          <w:szCs w:val="22"/>
        </w:rPr>
        <w:t xml:space="preserve">Kubernetes self-heals at this level via the ReplicaSet controller, pod rescheduling, and the Node lifecycle manager. No DR invocation is required. EKS Managed Node Groups automatically replace unhealthy nodes within the same AZ.</w:t>
      </w:r>
    </w:p>
    <w:p>
      <w:pPr>
        <w:pStyle w:val="Heading2"/>
        <w:spacing w:after="80" w:before="280"/>
      </w:pPr>
      <w:r>
        <w:rPr>
          <w:rFonts w:ascii="Arial" w:cs="Arial" w:eastAsia="Arial" w:hAnsi="Arial"/>
          <w:b/>
          <w:bCs/>
          <w:color w:val="2E74B5"/>
          <w:sz w:val="26"/>
          <w:szCs w:val="26"/>
        </w:rPr>
        <w:t xml:space="preserve">3.2 Availability Zone Failure (Zonal)</w:t>
      </w:r>
    </w:p>
    <w:p>
      <w:pPr>
        <w:spacing w:after="80" w:before="80"/>
      </w:pPr>
      <w:r>
        <w:rPr>
          <w:rFonts w:ascii="Arial" w:cs="Arial" w:eastAsia="Arial" w:hAnsi="Arial"/>
          <w:sz w:val="22"/>
          <w:szCs w:val="22"/>
        </w:rPr>
        <w:t xml:space="preserve">A zonal failure affects all EC2 instances, load balancer targets, and EFS mount targets in a single AZ within ap-south-1. Examples include:</w:t>
      </w:r>
    </w:p>
    <w:p>
      <w:pPr>
        <w:pStyle w:val="ListParagraph"/>
        <w:numPr>
          <w:ilvl w:val="0"/>
          <w:numId w:val="2"/>
        </w:numPr>
        <w:spacing w:after="60" w:before="60"/>
      </w:pPr>
      <w:r>
        <w:rPr>
          <w:rFonts w:ascii="Arial" w:cs="Arial" w:eastAsia="Arial" w:hAnsi="Arial"/>
          <w:sz w:val="22"/>
          <w:szCs w:val="22"/>
        </w:rPr>
        <w:t xml:space="preserve">AWS AZ power event or network partition (documented historical events: us-east-1c, ap-south-1b)</w:t>
      </w:r>
    </w:p>
    <w:p>
      <w:pPr>
        <w:pStyle w:val="ListParagraph"/>
        <w:numPr>
          <w:ilvl w:val="0"/>
          <w:numId w:val="2"/>
        </w:numPr>
        <w:spacing w:after="60" w:before="60"/>
      </w:pPr>
      <w:r>
        <w:rPr>
          <w:rFonts w:ascii="Arial" w:cs="Arial" w:eastAsia="Arial" w:hAnsi="Arial"/>
          <w:sz w:val="22"/>
          <w:szCs w:val="22"/>
        </w:rPr>
        <w:t xml:space="preserve">Zonal EBS volume or EFS mount target outage</w:t>
      </w:r>
    </w:p>
    <w:p>
      <w:pPr>
        <w:pStyle w:val="ListParagraph"/>
        <w:numPr>
          <w:ilvl w:val="0"/>
          <w:numId w:val="2"/>
        </w:numPr>
        <w:spacing w:after="60" w:before="60"/>
      </w:pPr>
      <w:r>
        <w:rPr>
          <w:rFonts w:ascii="Arial" w:cs="Arial" w:eastAsia="Arial" w:hAnsi="Arial"/>
          <w:sz w:val="22"/>
          <w:szCs w:val="22"/>
        </w:rPr>
        <w:t xml:space="preserve">ALB losing healthy targets in one AZ due to NLB/ALB health-check failures</w:t>
      </w:r>
    </w:p>
    <w:p>
      <w:pPr>
        <w:spacing w:after="80" w:before="80"/>
      </w:pPr>
      <w:r>
        <w:rPr>
          <w:rFonts w:ascii="Arial" w:cs="Arial" w:eastAsia="Arial" w:hAnsi="Arial"/>
          <w:sz w:val="22"/>
          <w:szCs w:val="22"/>
        </w:rPr>
        <w:t xml:space="preserve">In this scenario, the ALB in Mumbai redistributes traffic to healthy targets in the remaining AZs. EKS pods are rescheduled on nodes in surviving AZs. This is handled entirely within the Mumbai region and does not require DR invocation, provided the cluster spans a minimum of two AZs with adequate capacity headroom.</w:t>
      </w:r>
    </w:p>
    <w:p>
      <w:pPr>
        <w:spacing w:after="80" w:before="80"/>
      </w:pPr>
      <w:r>
        <w:rPr>
          <w:rFonts w:ascii="Arial" w:cs="Arial" w:eastAsia="Arial" w:hAnsi="Arial"/>
          <w:sz w:val="22"/>
          <w:szCs w:val="22"/>
        </w:rPr>
        <w:t xml:space="preserve">Critical pre-condition: Worker nodes must be spread across at least two AZs, and Pod Disruption Budgets must be configured to ensure at least one replica survives a zonal drain.</w:t>
      </w:r>
    </w:p>
    <w:p>
      <w:pPr>
        <w:pStyle w:val="Heading2"/>
        <w:spacing w:after="80" w:before="280"/>
      </w:pPr>
      <w:r>
        <w:rPr>
          <w:rFonts w:ascii="Arial" w:cs="Arial" w:eastAsia="Arial" w:hAnsi="Arial"/>
          <w:b/>
          <w:bCs/>
          <w:color w:val="2E74B5"/>
          <w:sz w:val="26"/>
          <w:szCs w:val="26"/>
        </w:rPr>
        <w:t xml:space="preserve">3.3 Region Failure (Full DR Invocation)</w:t>
      </w:r>
    </w:p>
    <w:p>
      <w:pPr>
        <w:spacing w:after="80" w:before="80"/>
      </w:pPr>
      <w:r>
        <w:rPr>
          <w:rFonts w:ascii="Arial" w:cs="Arial" w:eastAsia="Arial" w:hAnsi="Arial"/>
          <w:sz w:val="22"/>
          <w:szCs w:val="22"/>
        </w:rPr>
        <w:t xml:space="preserve">A regional failure is the primary scenario this DR design addresses. This constitutes a failure that renders the ap-south-1 (Mumbai) region inaccessible or degraded beyond acceptable SLA thresholds. Triggers include:</w:t>
      </w:r>
    </w:p>
    <w:p>
      <w:pPr>
        <w:pStyle w:val="ListParagraph"/>
        <w:numPr>
          <w:ilvl w:val="0"/>
          <w:numId w:val="2"/>
        </w:numPr>
        <w:spacing w:after="60" w:before="60"/>
      </w:pPr>
      <w:r>
        <w:rPr>
          <w:rFonts w:ascii="Arial" w:cs="Arial" w:eastAsia="Arial" w:hAnsi="Arial"/>
          <w:sz w:val="22"/>
          <w:szCs w:val="22"/>
        </w:rPr>
        <w:t xml:space="preserve">Full AWS regional outage (e.g., ap-south-1 control plane unavailable)</w:t>
      </w:r>
    </w:p>
    <w:p>
      <w:pPr>
        <w:pStyle w:val="ListParagraph"/>
        <w:numPr>
          <w:ilvl w:val="0"/>
          <w:numId w:val="2"/>
        </w:numPr>
        <w:spacing w:after="60" w:before="60"/>
      </w:pPr>
      <w:r>
        <w:rPr>
          <w:rFonts w:ascii="Arial" w:cs="Arial" w:eastAsia="Arial" w:hAnsi="Arial"/>
          <w:sz w:val="22"/>
          <w:szCs w:val="22"/>
        </w:rPr>
        <w:t xml:space="preserve">Catastrophic data corruption propagating to the primary database tier</w:t>
      </w:r>
    </w:p>
    <w:p>
      <w:pPr>
        <w:pStyle w:val="ListParagraph"/>
        <w:numPr>
          <w:ilvl w:val="0"/>
          <w:numId w:val="2"/>
        </w:numPr>
        <w:spacing w:after="60" w:before="60"/>
      </w:pPr>
      <w:r>
        <w:rPr>
          <w:rFonts w:ascii="Arial" w:cs="Arial" w:eastAsia="Arial" w:hAnsi="Arial"/>
          <w:sz w:val="22"/>
          <w:szCs w:val="22"/>
        </w:rPr>
        <w:t xml:space="preserve">Complete Route 53 health-check failure for the Mumbai ALB endpoint</w:t>
      </w:r>
    </w:p>
    <w:p>
      <w:pPr>
        <w:pStyle w:val="ListParagraph"/>
        <w:numPr>
          <w:ilvl w:val="0"/>
          <w:numId w:val="2"/>
        </w:numPr>
        <w:spacing w:after="60" w:before="60"/>
      </w:pPr>
      <w:r>
        <w:rPr>
          <w:rFonts w:ascii="Arial" w:cs="Arial" w:eastAsia="Arial" w:hAnsi="Arial"/>
          <w:sz w:val="22"/>
          <w:szCs w:val="22"/>
        </w:rPr>
        <w:t xml:space="preserve">Ransomware, accidental deletion, or IAM-level lockout of the primary account’s EKS workloads</w:t>
      </w:r>
    </w:p>
    <w:p>
      <w:pPr>
        <w:pStyle w:val="ListParagraph"/>
        <w:numPr>
          <w:ilvl w:val="0"/>
          <w:numId w:val="2"/>
        </w:numPr>
        <w:spacing w:after="60" w:before="60"/>
      </w:pPr>
      <w:r>
        <w:rPr>
          <w:rFonts w:ascii="Arial" w:cs="Arial" w:eastAsia="Arial" w:hAnsi="Arial"/>
          <w:sz w:val="22"/>
          <w:szCs w:val="22"/>
        </w:rPr>
        <w:t xml:space="preserve">EFS primary volume failure with replication lag exceeding acceptable data loss tolerance</w:t>
      </w:r>
    </w:p>
    <w:p>
      <w:pPr>
        <w:spacing w:after="80" w:before="80"/>
      </w:pPr>
      <w:r>
        <w:rPr>
          <w:rFonts w:ascii="Arial" w:cs="Arial" w:eastAsia="Arial" w:hAnsi="Arial"/>
          <w:sz w:val="22"/>
          <w:szCs w:val="22"/>
        </w:rPr>
        <w:t xml:space="preserve">Only a region-level failure warrants a full DR failover to Hyderabad. The decision to invoke DR must be taken by a designated On-Call Lead after validating that Mumbai recovery is not achievable within the declared RTO window.</w:t>
      </w:r>
    </w:p>
    <w:p>
      <w:r>
        <w:br w:type="page"/>
      </w:r>
    </w:p>
    <w:p>
      <w:pPr>
        <w:pStyle w:val="Heading1"/>
        <w:spacing w:after="120" w:before="360"/>
      </w:pPr>
      <w:r>
        <w:rPr>
          <w:rFonts w:ascii="Arial" w:cs="Arial" w:eastAsia="Arial" w:hAnsi="Arial"/>
          <w:b/>
          <w:bCs/>
          <w:color w:val="1F4E79"/>
          <w:sz w:val="32"/>
          <w:szCs w:val="32"/>
        </w:rPr>
        <w:t xml:space="preserve">4. RTO and RPO Targets</w:t>
      </w:r>
    </w:p>
    <w:p>
      <w:pPr>
        <w:pBdr>
          <w:bottom w:val="single" w:color="2E74B5" w:sz="4" w:space="1"/>
        </w:pBdr>
        <w:spacing w:after="120" w:before="120"/>
      </w:pPr>
    </w:p>
    <w:p>
      <w:pPr>
        <w:spacing w:after="80" w:before="80"/>
      </w:pPr>
      <w:r>
        <w:rPr>
          <w:rFonts w:ascii="Arial" w:cs="Arial" w:eastAsia="Arial" w:hAnsi="Arial"/>
          <w:sz w:val="22"/>
          <w:szCs w:val="22"/>
        </w:rPr>
        <w:t xml:space="preserve">RTO (Recovery Time Objective) defines how quickly the application must be restored. RPO (Recovery Point Objective) defines the maximum acceptable data loss, measured as a window of time.</w:t>
      </w:r>
    </w:p>
    <w:p>
      <w:pPr>
        <w:pStyle w:val="Heading2"/>
        <w:spacing w:after="80" w:before="280"/>
      </w:pPr>
      <w:r>
        <w:rPr>
          <w:rFonts w:ascii="Arial" w:cs="Arial" w:eastAsia="Arial" w:hAnsi="Arial"/>
          <w:b/>
          <w:bCs/>
          <w:color w:val="2E74B5"/>
          <w:sz w:val="26"/>
          <w:szCs w:val="26"/>
        </w:rPr>
        <w:t xml:space="preserve">4.1 Target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1500"/>
        <w:gridCol w:w="3560"/>
      </w:tblGrid>
      <w:tr>
        <w:tc>
          <w:tcPr>
            <w:tcW w:type="dxa" w:w="2800"/>
            <w:gridSpan w:val="1"/>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Failure Scenario</w:t>
            </w:r>
          </w:p>
        </w:tc>
        <w:tc>
          <w:tcPr>
            <w:tcW w:type="dxa" w:w="1500"/>
            <w:gridSpan w:val="1"/>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RTO</w:t>
            </w:r>
          </w:p>
        </w:tc>
        <w:tc>
          <w:tcPr>
            <w:tcW w:type="dxa" w:w="1500"/>
            <w:gridSpan w:val="1"/>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RPO</w:t>
            </w:r>
          </w:p>
        </w:tc>
        <w:tc>
          <w:tcPr>
            <w:tcW w:type="dxa" w:w="3560"/>
            <w:gridSpan w:val="1"/>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Rationale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Pod / Node failure</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&lt; 5 minutes</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Zero</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Kubernetes self-heals; stateless pods restart instantly</w:t>
            </w:r>
          </w:p>
        </w:tc>
      </w:tr>
      <w:tr>
        <w:tc>
          <w:tcPr>
            <w:tcW w:type="dxa" w:w="28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sz w:val="20"/>
                <w:szCs w:val="20"/>
              </w:rPr>
              <w:t xml:space="preserve">AZ failure</w:t>
            </w:r>
          </w:p>
        </w:tc>
        <w:tc>
          <w:tcPr>
            <w:tcW w:type="dxa" w:w="15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sz w:val="20"/>
                <w:szCs w:val="20"/>
              </w:rPr>
              <w:t xml:space="preserve">&lt; 15 minutes</w:t>
            </w:r>
          </w:p>
        </w:tc>
        <w:tc>
          <w:tcPr>
            <w:tcW w:type="dxa" w:w="15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sz w:val="20"/>
                <w:szCs w:val="20"/>
              </w:rPr>
              <w:t xml:space="preserve">Zero</w:t>
            </w:r>
          </w:p>
        </w:tc>
        <w:tc>
          <w:tcPr>
            <w:tcW w:type="dxa" w:w="356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sz w:val="20"/>
                <w:szCs w:val="20"/>
              </w:rPr>
              <w:t xml:space="preserve">ALB cross-AZ routing; no manual intervention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Region failure (DR)</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&lt; 60 minutes</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&lt; 15 minutes</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Warm standby in Hyderabad; EFS replication lag window</w:t>
            </w:r>
          </w:p>
        </w:tc>
      </w:tr>
    </w:tbl>
    <w:p>
      <w:pPr>
        <w:spacing w:after="80" w:before="80"/>
      </w:pPr>
      <w:r>
        <w:rPr>
          <w:rFonts w:ascii="Arial" w:cs="Arial" w:eastAsia="Arial" w:hAnsi="Arial"/>
          <w:sz w:val="22"/>
          <w:szCs w:val="22"/>
        </w:rPr>
        <w:t xml:space="preserve"/>
      </w:r>
    </w:p>
    <w:p>
      <w:pPr>
        <w:pStyle w:val="Heading2"/>
        <w:spacing w:after="80" w:before="280"/>
      </w:pPr>
      <w:r>
        <w:rPr>
          <w:rFonts w:ascii="Arial" w:cs="Arial" w:eastAsia="Arial" w:hAnsi="Arial"/>
          <w:b/>
          <w:bCs/>
          <w:color w:val="2E74B5"/>
          <w:sz w:val="26"/>
          <w:szCs w:val="26"/>
        </w:rPr>
        <w:t xml:space="preserve">4.2 Rationale for Region-Level Targets</w:t>
      </w:r>
    </w:p>
    <w:p>
      <w:pPr>
        <w:spacing w:after="80" w:before="80"/>
      </w:pPr>
      <w:r>
        <w:rPr>
          <w:rFonts w:ascii="Arial" w:cs="Arial" w:eastAsia="Arial" w:hAnsi="Arial"/>
          <w:sz w:val="22"/>
          <w:szCs w:val="22"/>
        </w:rPr>
        <w:t xml:space="preserve">RTO of 60 minutes is achievable because the Hyderabad environment is pre-provisioned (Warm Standby), not cold. The EKS cluster, VPC, subnets, IAM roles, and Helm deployments are already applied via Terraform. The DR invocation steps are primarily Route 53 DNS cutover, scaling up workloads, and validating health checks — not provisioning infrastructure from scratch.</w:t>
      </w:r>
    </w:p>
    <w:p>
      <w:pPr>
        <w:spacing w:after="80" w:before="80"/>
      </w:pPr>
      <w:r>
        <w:rPr>
          <w:rFonts w:ascii="Arial" w:cs="Arial" w:eastAsia="Arial" w:hAnsi="Arial"/>
          <w:sz w:val="22"/>
          <w:szCs w:val="22"/>
        </w:rPr>
        <w:t xml:space="preserve">RPO of 15 minutes reflects the EFS cross-region replication lag. AWS EFS replication is near-real-time but carries a documented Recovery Point Objective of up to 15 minutes under load. For the PostgreSQL database tier, the RPO is determined by the RDS or EBS snapshot frequency. If the database is EBS-backed, snapshots every 5 minutes cap the RPO at 5 minutes for that tier.</w:t>
      </w:r>
    </w:p>
    <w:p>
      <w:pPr>
        <w:spacing w:after="80" w:before="80"/>
      </w:pPr>
      <w:r>
        <w:rPr>
          <w:rFonts w:ascii="Arial" w:cs="Arial" w:eastAsia="Arial" w:hAnsi="Arial"/>
          <w:sz w:val="22"/>
          <w:szCs w:val="22"/>
        </w:rPr>
        <w:t xml:space="preserve">These targets assume no dependency on the Mumbai region’s control plane during recovery (i.e., Terraform state and ArgoCD manifests are accessible independently).</w:t>
      </w:r>
    </w:p>
    <w:p>
      <w:r>
        <w:br w:type="page"/>
      </w:r>
    </w:p>
    <w:p>
      <w:pPr>
        <w:pStyle w:val="Heading1"/>
        <w:spacing w:after="120" w:before="360"/>
      </w:pPr>
      <w:r>
        <w:rPr>
          <w:rFonts w:ascii="Arial" w:cs="Arial" w:eastAsia="Arial" w:hAnsi="Arial"/>
          <w:b/>
          <w:bCs/>
          <w:color w:val="1F4E79"/>
          <w:sz w:val="32"/>
          <w:szCs w:val="32"/>
        </w:rPr>
        <w:t xml:space="preserve">5. Data Protection and Recoverability</w:t>
      </w:r>
    </w:p>
    <w:p>
      <w:pPr>
        <w:pBdr>
          <w:bottom w:val="single" w:color="2E74B5" w:sz="4" w:space="1"/>
        </w:pBdr>
        <w:spacing w:after="120" w:before="120"/>
      </w:pPr>
    </w:p>
    <w:p>
      <w:pPr>
        <w:spacing w:after="80" w:before="80"/>
      </w:pPr>
      <w:r>
        <w:rPr>
          <w:rFonts w:ascii="Arial" w:cs="Arial" w:eastAsia="Arial" w:hAnsi="Arial"/>
          <w:sz w:val="22"/>
          <w:szCs w:val="22"/>
        </w:rPr>
        <w:t xml:space="preserve">Three categories of state must be protected independently: infrastructure state (Terraform), persistent application data, and configuration/secrets.</w:t>
      </w:r>
    </w:p>
    <w:p>
      <w:pPr>
        <w:pStyle w:val="Heading2"/>
        <w:spacing w:after="80" w:before="280"/>
      </w:pPr>
      <w:r>
        <w:rPr>
          <w:rFonts w:ascii="Arial" w:cs="Arial" w:eastAsia="Arial" w:hAnsi="Arial"/>
          <w:b/>
          <w:bCs/>
          <w:color w:val="2E74B5"/>
          <w:sz w:val="26"/>
          <w:szCs w:val="26"/>
        </w:rPr>
        <w:t xml:space="preserve">5.1 Terraform State</w:t>
      </w:r>
    </w:p>
    <w:p>
      <w:pPr>
        <w:spacing w:after="80" w:before="80"/>
      </w:pPr>
      <w:r>
        <w:rPr>
          <w:rFonts w:ascii="Arial" w:cs="Arial" w:eastAsia="Arial" w:hAnsi="Arial"/>
          <w:sz w:val="22"/>
          <w:szCs w:val="22"/>
        </w:rPr>
        <w:t xml:space="preserve">Terraform state is the most critical infrastructure artifact. If state is lost or corrupted, Terraform cannot reason about existing resources and will attempt to recreate them, causing destructive plan output.</w:t>
      </w:r>
    </w:p>
    <w:p>
      <w:pPr>
        <w:pStyle w:val="ListParagraph"/>
        <w:numPr>
          <w:ilvl w:val="0"/>
          <w:numId w:val="2"/>
        </w:numPr>
        <w:spacing w:after="60" w:before="60"/>
      </w:pPr>
      <w:r>
        <w:rPr>
          <w:rFonts w:ascii="Arial" w:cs="Arial" w:eastAsia="Arial" w:hAnsi="Arial"/>
          <w:sz w:val="22"/>
          <w:szCs w:val="22"/>
        </w:rPr>
        <w:t xml:space="preserve">State backend: S3 bucket with versioning enabled and MFA delete protection</w:t>
      </w:r>
    </w:p>
    <w:p>
      <w:pPr>
        <w:pStyle w:val="ListParagraph"/>
        <w:numPr>
          <w:ilvl w:val="0"/>
          <w:numId w:val="2"/>
        </w:numPr>
        <w:spacing w:after="60" w:before="60"/>
      </w:pPr>
      <w:r>
        <w:rPr>
          <w:rFonts w:ascii="Arial" w:cs="Arial" w:eastAsia="Arial" w:hAnsi="Arial"/>
          <w:sz w:val="22"/>
          <w:szCs w:val="22"/>
        </w:rPr>
        <w:t xml:space="preserve">State locking: DynamoDB table in ap-south-1 with LockID primary key</w:t>
      </w:r>
    </w:p>
    <w:p>
      <w:pPr>
        <w:pStyle w:val="ListParagraph"/>
        <w:numPr>
          <w:ilvl w:val="0"/>
          <w:numId w:val="2"/>
        </w:numPr>
        <w:spacing w:after="60" w:before="60"/>
      </w:pPr>
      <w:r>
        <w:rPr>
          <w:rFonts w:ascii="Arial" w:cs="Arial" w:eastAsia="Arial" w:hAnsi="Arial"/>
          <w:sz w:val="22"/>
          <w:szCs w:val="22"/>
        </w:rPr>
        <w:t xml:space="preserve">Cross-region replication: S3 CRR (Cross-Region Replication) configured from ap-south-1 bucket to ap-south-2 bucket ensures a copy of all state files survives a regional failure</w:t>
      </w:r>
    </w:p>
    <w:p>
      <w:pPr>
        <w:pStyle w:val="ListParagraph"/>
        <w:numPr>
          <w:ilvl w:val="0"/>
          <w:numId w:val="2"/>
        </w:numPr>
        <w:spacing w:after="60" w:before="60"/>
      </w:pPr>
      <w:r>
        <w:rPr>
          <w:rFonts w:ascii="Arial" w:cs="Arial" w:eastAsia="Arial" w:hAnsi="Arial"/>
          <w:sz w:val="22"/>
          <w:szCs w:val="22"/>
        </w:rPr>
        <w:t xml:space="preserve">Access during DR: The DR Terraform workspace points to the replicated S3 backend in ap-south-2; no dependency on the primary region’s S3 endpoint</w:t>
      </w:r>
    </w:p>
    <w:p>
      <w:pPr>
        <w:pStyle w:val="ListParagraph"/>
        <w:numPr>
          <w:ilvl w:val="0"/>
          <w:numId w:val="2"/>
        </w:numPr>
        <w:spacing w:after="60" w:before="60"/>
      </w:pPr>
      <w:r>
        <w:rPr>
          <w:rFonts w:ascii="Arial" w:cs="Arial" w:eastAsia="Arial" w:hAnsi="Arial"/>
          <w:sz w:val="22"/>
          <w:szCs w:val="22"/>
        </w:rPr>
        <w:t xml:space="preserve">State isolation: Mumbai and Hyderabad environments use separate state files (separate workspaces or separate backend keys), preventing a corrupted DR apply from destroying active production state</w:t>
      </w:r>
    </w:p>
    <w:p>
      <w:pPr>
        <w:spacing w:after="80" w:before="80"/>
      </w:pPr>
      <w:r>
        <w:rPr>
          <w:rFonts w:ascii="Arial" w:cs="Arial" w:eastAsia="Arial" w:hAnsi="Arial"/>
          <w:sz w:val="22"/>
          <w:szCs w:val="22"/>
        </w:rPr>
        <w:t xml:space="preserve">Operational note: Terraform state must never be manually edited. If state drift is detected, use terraform import or terraform state mv, not direct S3 object modification.</w:t>
      </w:r>
    </w:p>
    <w:p>
      <w:pPr>
        <w:pStyle w:val="Heading2"/>
        <w:spacing w:after="80" w:before="280"/>
      </w:pPr>
      <w:r>
        <w:rPr>
          <w:rFonts w:ascii="Arial" w:cs="Arial" w:eastAsia="Arial" w:hAnsi="Arial"/>
          <w:b/>
          <w:bCs/>
          <w:color w:val="2E74B5"/>
          <w:sz w:val="26"/>
          <w:szCs w:val="26"/>
        </w:rPr>
        <w:t xml:space="preserve">5.2 Persistent Application Data</w:t>
      </w:r>
    </w:p>
    <w:p>
      <w:pPr>
        <w:spacing w:after="80" w:before="80"/>
      </w:pPr>
      <w:r>
        <w:rPr>
          <w:rFonts w:ascii="Arial" w:cs="Arial" w:eastAsia="Arial" w:hAnsi="Arial"/>
          <w:sz w:val="22"/>
          <w:szCs w:val="22"/>
        </w:rPr>
        <w:t xml:space="preserve">Persistent data in the TaskFlow stack comes from two sources: the PostgreSQL database and shared file storage (EFS).</w:t>
      </w:r>
    </w:p>
    <w:p>
      <w:pPr>
        <w:pStyle w:val="Heading3"/>
        <w:spacing w:after="60" w:before="200"/>
      </w:pPr>
      <w:r>
        <w:rPr>
          <w:rFonts w:ascii="Arial" w:cs="Arial" w:eastAsia="Arial" w:hAnsi="Arial"/>
          <w:b/>
          <w:bCs/>
          <w:color w:val="2E74B5"/>
          <w:sz w:val="24"/>
          <w:szCs w:val="24"/>
        </w:rPr>
        <w:t xml:space="preserve">5.2.1 EFS (Elastic File System)</w:t>
      </w:r>
    </w:p>
    <w:p>
      <w:pPr>
        <w:pStyle w:val="ListParagraph"/>
        <w:numPr>
          <w:ilvl w:val="0"/>
          <w:numId w:val="2"/>
        </w:numPr>
        <w:spacing w:after="60" w:before="60"/>
      </w:pPr>
      <w:r>
        <w:rPr>
          <w:rFonts w:ascii="Arial" w:cs="Arial" w:eastAsia="Arial" w:hAnsi="Arial"/>
          <w:sz w:val="22"/>
          <w:szCs w:val="22"/>
        </w:rPr>
        <w:t xml:space="preserve">EFS cross-region replication is configured from the Mumbai primary file system to the Hyderabad replica</w:t>
      </w:r>
    </w:p>
    <w:p>
      <w:pPr>
        <w:pStyle w:val="ListParagraph"/>
        <w:numPr>
          <w:ilvl w:val="0"/>
          <w:numId w:val="2"/>
        </w:numPr>
        <w:spacing w:after="60" w:before="60"/>
      </w:pPr>
      <w:r>
        <w:rPr>
          <w:rFonts w:ascii="Arial" w:cs="Arial" w:eastAsia="Arial" w:hAnsi="Arial"/>
          <w:sz w:val="22"/>
          <w:szCs w:val="22"/>
        </w:rPr>
        <w:t xml:space="preserve">The replication is one-way and read-only on the destination until a failover is declared</w:t>
      </w:r>
    </w:p>
    <w:p>
      <w:pPr>
        <w:pStyle w:val="ListParagraph"/>
        <w:numPr>
          <w:ilvl w:val="0"/>
          <w:numId w:val="2"/>
        </w:numPr>
        <w:spacing w:after="60" w:before="60"/>
      </w:pPr>
      <w:r>
        <w:rPr>
          <w:rFonts w:ascii="Arial" w:cs="Arial" w:eastAsia="Arial" w:hAnsi="Arial"/>
          <w:sz w:val="22"/>
          <w:szCs w:val="22"/>
        </w:rPr>
        <w:t xml:space="preserve">During DR invocation, the Hyderabad EFS replication target is promoted to a standalone writable file system</w:t>
      </w:r>
    </w:p>
    <w:p>
      <w:pPr>
        <w:pStyle w:val="ListParagraph"/>
        <w:numPr>
          <w:ilvl w:val="0"/>
          <w:numId w:val="2"/>
        </w:numPr>
        <w:spacing w:after="60" w:before="60"/>
      </w:pPr>
      <w:r>
        <w:rPr>
          <w:rFonts w:ascii="Arial" w:cs="Arial" w:eastAsia="Arial" w:hAnsi="Arial"/>
          <w:sz w:val="22"/>
          <w:szCs w:val="22"/>
        </w:rPr>
        <w:t xml:space="preserve">Promotion is a one-time operation; once promoted, the Hyderabad EFS is no longer a replication target and must be treated as independent</w:t>
      </w:r>
    </w:p>
    <w:p>
      <w:pPr>
        <w:pStyle w:val="Heading3"/>
        <w:spacing w:after="60" w:before="200"/>
      </w:pPr>
      <w:r>
        <w:rPr>
          <w:rFonts w:ascii="Arial" w:cs="Arial" w:eastAsia="Arial" w:hAnsi="Arial"/>
          <w:b/>
          <w:bCs/>
          <w:color w:val="2E74B5"/>
          <w:sz w:val="24"/>
          <w:szCs w:val="24"/>
        </w:rPr>
        <w:t xml:space="preserve">5.2.2 PostgreSQL Database</w:t>
      </w:r>
    </w:p>
    <w:p>
      <w:pPr>
        <w:pStyle w:val="ListParagraph"/>
        <w:numPr>
          <w:ilvl w:val="0"/>
          <w:numId w:val="2"/>
        </w:numPr>
        <w:spacing w:after="60" w:before="60"/>
      </w:pPr>
      <w:r>
        <w:rPr>
          <w:rFonts w:ascii="Arial" w:cs="Arial" w:eastAsia="Arial" w:hAnsi="Arial"/>
          <w:sz w:val="22"/>
          <w:szCs w:val="22"/>
        </w:rPr>
        <w:t xml:space="preserve">If running on RDS: Enable cross-region read replica in ap-south-2. On DR invocation, promote the read replica to a standalone primary using the RDS promote API. DNS failover is handled separately via Route 53</w:t>
      </w:r>
    </w:p>
    <w:p>
      <w:pPr>
        <w:pStyle w:val="ListParagraph"/>
        <w:numPr>
          <w:ilvl w:val="0"/>
          <w:numId w:val="2"/>
        </w:numPr>
        <w:spacing w:after="60" w:before="60"/>
      </w:pPr>
      <w:r>
        <w:rPr>
          <w:rFonts w:ascii="Arial" w:cs="Arial" w:eastAsia="Arial" w:hAnsi="Arial"/>
          <w:sz w:val="22"/>
          <w:szCs w:val="22"/>
        </w:rPr>
        <w:t xml:space="preserve">If running on EKS with EBS-backed persistent volumes: EBS snapshots are scheduled via AWS Data Lifecycle Manager (DLM) every 5 minutes. On DR invocation, the latest snapshot is used to provision a new PVC in ap-south-2 via a snapshot restore. This carries a recovery time cost of approximately 10–20 minutes for volume hydration</w:t>
      </w:r>
    </w:p>
    <w:p>
      <w:pPr>
        <w:pStyle w:val="ListParagraph"/>
        <w:numPr>
          <w:ilvl w:val="0"/>
          <w:numId w:val="2"/>
        </w:numPr>
        <w:spacing w:after="60" w:before="60"/>
      </w:pPr>
      <w:r>
        <w:rPr>
          <w:rFonts w:ascii="Arial" w:cs="Arial" w:eastAsia="Arial" w:hAnsi="Arial"/>
          <w:sz w:val="22"/>
          <w:szCs w:val="22"/>
        </w:rPr>
        <w:t xml:space="preserve">Database connection strings are stored in AWS Secrets Manager and mounted via CSI driver; the DR SecretProviderClass in Hyderabad points to the Hyderabad Secrets Manager endpoint</w:t>
      </w:r>
    </w:p>
    <w:p>
      <w:pPr>
        <w:pStyle w:val="Heading2"/>
        <w:spacing w:after="80" w:before="280"/>
      </w:pPr>
      <w:r>
        <w:rPr>
          <w:rFonts w:ascii="Arial" w:cs="Arial" w:eastAsia="Arial" w:hAnsi="Arial"/>
          <w:b/>
          <w:bCs/>
          <w:color w:val="2E74B5"/>
          <w:sz w:val="26"/>
          <w:szCs w:val="26"/>
        </w:rPr>
        <w:t xml:space="preserve">5.3 Application Configurations and Secrets</w:t>
      </w:r>
    </w:p>
    <w:p>
      <w:pPr>
        <w:pStyle w:val="ListParagraph"/>
        <w:numPr>
          <w:ilvl w:val="0"/>
          <w:numId w:val="2"/>
        </w:numPr>
        <w:spacing w:after="60" w:before="60"/>
      </w:pPr>
      <w:r>
        <w:rPr>
          <w:rFonts w:ascii="Arial" w:cs="Arial" w:eastAsia="Arial" w:hAnsi="Arial"/>
          <w:sz w:val="22"/>
          <w:szCs w:val="22"/>
        </w:rPr>
        <w:t xml:space="preserve">AWS Secrets Manager secrets follow the path convention pip/dev/taskflow/app and pip/dev/taskflow/db</w:t>
      </w:r>
    </w:p>
    <w:p>
      <w:pPr>
        <w:pStyle w:val="ListParagraph"/>
        <w:numPr>
          <w:ilvl w:val="0"/>
          <w:numId w:val="2"/>
        </w:numPr>
        <w:spacing w:after="60" w:before="60"/>
      </w:pPr>
      <w:r>
        <w:rPr>
          <w:rFonts w:ascii="Arial" w:cs="Arial" w:eastAsia="Arial" w:hAnsi="Arial"/>
          <w:sz w:val="22"/>
          <w:szCs w:val="22"/>
        </w:rPr>
        <w:t xml:space="preserve">Secrets are replicated to the Hyderabad region using AWS Secrets Manager cross-region replication (multi-region secrets)</w:t>
      </w:r>
    </w:p>
    <w:p>
      <w:pPr>
        <w:pStyle w:val="ListParagraph"/>
        <w:numPr>
          <w:ilvl w:val="0"/>
          <w:numId w:val="2"/>
        </w:numPr>
        <w:spacing w:after="60" w:before="60"/>
      </w:pPr>
      <w:r>
        <w:rPr>
          <w:rFonts w:ascii="Arial" w:cs="Arial" w:eastAsia="Arial" w:hAnsi="Arial"/>
          <w:sz w:val="22"/>
          <w:szCs w:val="22"/>
        </w:rPr>
        <w:t xml:space="preserve">Kubernetes manifests (Helm charts) are stored in the Git repository salausss/three-tier-application and are region-agnostic; ArgoCD in the DR cluster points to the same Git source</w:t>
      </w:r>
    </w:p>
    <w:p>
      <w:pPr>
        <w:pStyle w:val="ListParagraph"/>
        <w:numPr>
          <w:ilvl w:val="0"/>
          <w:numId w:val="2"/>
        </w:numPr>
        <w:spacing w:after="60" w:before="60"/>
      </w:pPr>
      <w:r>
        <w:rPr>
          <w:rFonts w:ascii="Arial" w:cs="Arial" w:eastAsia="Arial" w:hAnsi="Arial"/>
          <w:sz w:val="22"/>
          <w:szCs w:val="22"/>
        </w:rPr>
        <w:t xml:space="preserve">ArgoCD application definitions deployed via Terraform null_resource + local-exec are idempotent and can be re-applied against the Hyderabad cluster without modification</w:t>
      </w:r>
    </w:p>
    <w:p>
      <w:pPr>
        <w:pStyle w:val="ListParagraph"/>
        <w:numPr>
          <w:ilvl w:val="0"/>
          <w:numId w:val="2"/>
        </w:numPr>
        <w:spacing w:after="60" w:before="60"/>
      </w:pPr>
      <w:r>
        <w:rPr>
          <w:rFonts w:ascii="Arial" w:cs="Arial" w:eastAsia="Arial" w:hAnsi="Arial"/>
          <w:sz w:val="22"/>
          <w:szCs w:val="22"/>
        </w:rPr>
        <w:t xml:space="preserve">IRSA role ARNs and Kubernetes service account annotations must be environment-scoped; DR Terraform module must output the Hyderabad-specific role ARNs to avoid cross-region IAM trust confusion</w:t>
      </w:r>
    </w:p>
    <w:p>
      <w:r>
        <w:br w:type="page"/>
      </w:r>
    </w:p>
    <w:p>
      <w:pPr>
        <w:pStyle w:val="Heading1"/>
        <w:spacing w:after="120" w:before="360"/>
      </w:pPr>
      <w:r>
        <w:rPr>
          <w:rFonts w:ascii="Arial" w:cs="Arial" w:eastAsia="Arial" w:hAnsi="Arial"/>
          <w:b/>
          <w:bCs/>
          <w:color w:val="1F4E79"/>
          <w:sz w:val="32"/>
          <w:szCs w:val="32"/>
        </w:rPr>
        <w:t xml:space="preserve">6. Multi-Region vs Multi-AZ: Design Rationale and Trade-offs</w:t>
      </w:r>
    </w:p>
    <w:p>
      <w:pPr>
        <w:pBdr>
          <w:bottom w:val="single" w:color="2E74B5" w:sz="4" w:space="1"/>
        </w:pBdr>
        <w:spacing w:after="120" w:before="120"/>
      </w:pPr>
    </w:p>
    <w:p>
      <w:pPr>
        <w:spacing w:after="80" w:before="80"/>
      </w:pPr>
      <w:r>
        <w:rPr>
          <w:rFonts w:ascii="Arial" w:cs="Arial" w:eastAsia="Arial" w:hAnsi="Arial"/>
          <w:sz w:val="22"/>
          <w:szCs w:val="22"/>
        </w:rPr>
        <w:t xml:space="preserve">The architecture employs both strategies at different levels of the stack. The choice is not binary — they protect against different failure classes.</w:t>
      </w:r>
    </w:p>
    <w:p>
      <w:pPr>
        <w:pStyle w:val="Heading2"/>
        <w:spacing w:after="80" w:before="280"/>
      </w:pPr>
      <w:r>
        <w:rPr>
          <w:rFonts w:ascii="Arial" w:cs="Arial" w:eastAsia="Arial" w:hAnsi="Arial"/>
          <w:b/>
          <w:bCs/>
          <w:color w:val="2E74B5"/>
          <w:sz w:val="26"/>
          <w:szCs w:val="26"/>
        </w:rPr>
        <w:t xml:space="preserve">6.1 Multi-AZ (Within Mumbai)</w:t>
      </w:r>
    </w:p>
    <w:p>
      <w:pPr>
        <w:spacing w:after="80" w:before="80"/>
      </w:pPr>
      <w:r>
        <w:rPr>
          <w:rFonts w:ascii="Arial" w:cs="Arial" w:eastAsia="Arial" w:hAnsi="Arial"/>
          <w:sz w:val="22"/>
          <w:szCs w:val="22"/>
        </w:rPr>
        <w:t xml:space="preserve">Multi-AZ is the first line of defense and handles the majority of real-world failure events. EKS Managed Node Groups are spread across two or three AZs within ap-south-1. The ALB distributes traffic across AZ-local targets. This protects against the most common AWS incidents (single-AZ degradation) at near-zero cost and with zero RTO.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Multi-AZ Advantages</w:t>
            </w:r>
          </w:p>
        </w:tc>
        <w:tc>
          <w:tcPr>
            <w:tcW w:type="dxa" w:w="4680"/>
            <w:gridSpan w:val="1"/>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Multi-AZ Limitations</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Zero RTO for AZ failures</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Does not protect against regional outages</w:t>
            </w:r>
          </w:p>
        </w:tc>
      </w:tr>
      <w:tr>
        <w:tc>
          <w:tcPr>
            <w:tcW w:type="dxa" w:w="468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sz w:val="20"/>
                <w:szCs w:val="20"/>
              </w:rPr>
              <w:t xml:space="preserve">No operational overhead during failure</w:t>
            </w:r>
          </w:p>
        </w:tc>
        <w:tc>
          <w:tcPr>
            <w:tcW w:type="dxa" w:w="468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sz w:val="20"/>
                <w:szCs w:val="20"/>
              </w:rPr>
              <w:t xml:space="preserve">Shared blast radius for region-wide events</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Low cost (no duplicate infra)</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EFS replication is intra-region only</w:t>
            </w:r>
          </w:p>
        </w:tc>
      </w:tr>
      <w:tr>
        <w:tc>
          <w:tcPr>
            <w:tcW w:type="dxa" w:w="468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sz w:val="20"/>
                <w:szCs w:val="20"/>
              </w:rPr>
              <w:t xml:space="preserve">Automatic via ALB and EKS node groups</w:t>
            </w:r>
          </w:p>
        </w:tc>
        <w:tc>
          <w:tcPr>
            <w:tcW w:type="dxa" w:w="468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sz w:val="20"/>
                <w:szCs w:val="20"/>
              </w:rPr>
              <w:t xml:space="preserve">Cannot protect against data corruption</w:t>
            </w:r>
          </w:p>
        </w:tc>
      </w:tr>
    </w:tbl>
    <w:p>
      <w:pPr>
        <w:spacing w:after="80" w:before="80"/>
      </w:pPr>
      <w:r>
        <w:rPr>
          <w:rFonts w:ascii="Arial" w:cs="Arial" w:eastAsia="Arial" w:hAnsi="Arial"/>
          <w:sz w:val="22"/>
          <w:szCs w:val="22"/>
        </w:rPr>
        <w:t xml:space="preserve"/>
      </w:r>
    </w:p>
    <w:p>
      <w:pPr>
        <w:pStyle w:val="Heading2"/>
        <w:spacing w:after="80" w:before="280"/>
      </w:pPr>
      <w:r>
        <w:rPr>
          <w:rFonts w:ascii="Arial" w:cs="Arial" w:eastAsia="Arial" w:hAnsi="Arial"/>
          <w:b/>
          <w:bCs/>
          <w:color w:val="2E74B5"/>
          <w:sz w:val="26"/>
          <w:szCs w:val="26"/>
        </w:rPr>
        <w:t xml:space="preserve">6.2 Multi-Region (Mumbai → Hyderabad)</w:t>
      </w:r>
    </w:p>
    <w:p>
      <w:pPr>
        <w:spacing w:after="80" w:before="80"/>
      </w:pPr>
      <w:r>
        <w:rPr>
          <w:rFonts w:ascii="Arial" w:cs="Arial" w:eastAsia="Arial" w:hAnsi="Arial"/>
          <w:sz w:val="22"/>
          <w:szCs w:val="22"/>
        </w:rPr>
        <w:t xml:space="preserve">Multi-region is the safety net for scenarios that overwhelm the multi-AZ layer. The Warm Standby model was chosen over Active-Active and Cold Standby for the following reasons: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80"/>
        <w:gridCol w:w="2380"/>
        <w:gridCol w:w="2400"/>
      </w:tblGrid>
      <w:tr>
        <w:tc>
          <w:tcPr>
            <w:tcW w:type="dxa" w:w="2200"/>
            <w:gridSpan w:val="1"/>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Criterion</w:t>
            </w:r>
          </w:p>
        </w:tc>
        <w:tc>
          <w:tcPr>
            <w:tcW w:type="dxa" w:w="2380"/>
            <w:gridSpan w:val="1"/>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Cold Standby</w:t>
            </w:r>
          </w:p>
        </w:tc>
        <w:tc>
          <w:tcPr>
            <w:tcW w:type="dxa" w:w="2380"/>
            <w:gridSpan w:val="1"/>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Warm Standby (chosen)</w:t>
            </w:r>
          </w:p>
        </w:tc>
        <w:tc>
          <w:tcPr>
            <w:tcW w:type="dxa" w:w="2400"/>
            <w:gridSpan w:val="1"/>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Active-Active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RTO</w:t>
            </w:r>
          </w:p>
        </w:tc>
        <w:tc>
          <w:tcPr>
            <w:tcW w:type="dxa" w:w="23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2–4 hours</w:t>
            </w:r>
          </w:p>
        </w:tc>
        <w:tc>
          <w:tcPr>
            <w:tcW w:type="dxa" w:w="23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30–60 minutes</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&lt; 5 minutes</w:t>
            </w:r>
          </w:p>
        </w:tc>
      </w:tr>
      <w:tr>
        <w:tc>
          <w:tcPr>
            <w:tcW w:type="dxa" w:w="22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sz w:val="20"/>
                <w:szCs w:val="20"/>
              </w:rPr>
              <w:t xml:space="preserve">Cost</w:t>
            </w:r>
          </w:p>
        </w:tc>
        <w:tc>
          <w:tcPr>
            <w:tcW w:type="dxa" w:w="238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sz w:val="20"/>
                <w:szCs w:val="20"/>
              </w:rPr>
              <w:t xml:space="preserve">Lowest</w:t>
            </w:r>
          </w:p>
        </w:tc>
        <w:tc>
          <w:tcPr>
            <w:tcW w:type="dxa" w:w="238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sz w:val="20"/>
                <w:szCs w:val="20"/>
              </w:rPr>
              <w:t xml:space="preserve">Medium</w:t>
            </w:r>
          </w:p>
        </w:tc>
        <w:tc>
          <w:tcPr>
            <w:tcW w:type="dxa" w:w="24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sz w:val="20"/>
                <w:szCs w:val="20"/>
              </w:rPr>
              <w:t xml:space="preserve">2x full cost</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Operational complexity</w:t>
            </w:r>
          </w:p>
        </w:tc>
        <w:tc>
          <w:tcPr>
            <w:tcW w:type="dxa" w:w="23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Low</w:t>
            </w:r>
          </w:p>
        </w:tc>
        <w:tc>
          <w:tcPr>
            <w:tcW w:type="dxa" w:w="23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Medium</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Very high</w:t>
            </w:r>
          </w:p>
        </w:tc>
      </w:tr>
      <w:tr>
        <w:tc>
          <w:tcPr>
            <w:tcW w:type="dxa" w:w="22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sz w:val="20"/>
                <w:szCs w:val="20"/>
              </w:rPr>
              <w:t xml:space="preserve">Data consistency</w:t>
            </w:r>
          </w:p>
        </w:tc>
        <w:tc>
          <w:tcPr>
            <w:tcW w:type="dxa" w:w="238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sz w:val="20"/>
                <w:szCs w:val="20"/>
              </w:rPr>
              <w:t xml:space="preserve">Snapshot-based</w:t>
            </w:r>
          </w:p>
        </w:tc>
        <w:tc>
          <w:tcPr>
            <w:tcW w:type="dxa" w:w="238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sz w:val="20"/>
                <w:szCs w:val="20"/>
              </w:rPr>
              <w:t xml:space="preserve">Near-real-time</w:t>
            </w:r>
          </w:p>
        </w:tc>
        <w:tc>
          <w:tcPr>
            <w:tcW w:type="dxa" w:w="24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sz w:val="20"/>
                <w:szCs w:val="20"/>
              </w:rPr>
              <w:t xml:space="preserve">Requires distributed transactions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Suitable for TaskFlow?</w:t>
            </w:r>
          </w:p>
        </w:tc>
        <w:tc>
          <w:tcPr>
            <w:tcW w:type="dxa" w:w="23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No (RTO too high)</w:t>
            </w:r>
          </w:p>
        </w:tc>
        <w:tc>
          <w:tcPr>
            <w:tcW w:type="dxa" w:w="23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Yes</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No (over-engineered)</w:t>
            </w:r>
          </w:p>
        </w:tc>
      </w:tr>
    </w:tbl>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Active-Active was rejected because TaskFlow’s PostgreSQL tier does not natively support multi-master writes without a distributed database layer (e.g., CockroachDB, Aurora Global). Introducing that complexity for a Kanban application is disproportionate. Cold Standby was rejected because a 2–4 hour RTO is unacceptable for a production application with active users.</w:t>
      </w:r>
    </w:p>
    <w:p>
      <w:r>
        <w:br w:type="page"/>
      </w:r>
    </w:p>
    <w:p>
      <w:pPr>
        <w:pStyle w:val="Heading1"/>
        <w:spacing w:after="120" w:before="360"/>
      </w:pPr>
      <w:r>
        <w:rPr>
          <w:rFonts w:ascii="Arial" w:cs="Arial" w:eastAsia="Arial" w:hAnsi="Arial"/>
          <w:b/>
          <w:bCs/>
          <w:color w:val="1F4E79"/>
          <w:sz w:val="32"/>
          <w:szCs w:val="32"/>
        </w:rPr>
        <w:t xml:space="preserve">7. Observability Stack Behaviour During Failure</w:t>
      </w:r>
    </w:p>
    <w:p>
      <w:pPr>
        <w:pBdr>
          <w:bottom w:val="single" w:color="2E74B5" w:sz="4" w:space="1"/>
        </w:pBdr>
        <w:spacing w:after="120" w:before="120"/>
      </w:pPr>
    </w:p>
    <w:p>
      <w:pPr>
        <w:spacing w:after="80" w:before="80"/>
      </w:pPr>
      <w:r>
        <w:rPr>
          <w:rFonts w:ascii="Arial" w:cs="Arial" w:eastAsia="Arial" w:hAnsi="Arial"/>
          <w:sz w:val="22"/>
          <w:szCs w:val="22"/>
        </w:rPr>
        <w:t xml:space="preserve">The observability stack (Amazon CloudWatch, AWS Managed Prometheus, and Grafana) is deployed independently in each region. This is a deliberate design decision: a centralised observability plane would itself become a single point of failure during the scenario it is meant to help diagnose.</w:t>
      </w:r>
    </w:p>
    <w:p>
      <w:pPr>
        <w:pStyle w:val="Heading2"/>
        <w:spacing w:after="80" w:before="280"/>
      </w:pPr>
      <w:r>
        <w:rPr>
          <w:rFonts w:ascii="Arial" w:cs="Arial" w:eastAsia="Arial" w:hAnsi="Arial"/>
          <w:b/>
          <w:bCs/>
          <w:color w:val="2E74B5"/>
          <w:sz w:val="26"/>
          <w:szCs w:val="26"/>
        </w:rPr>
        <w:t xml:space="preserve">7.1 Normal Operation</w:t>
      </w:r>
    </w:p>
    <w:p>
      <w:pPr>
        <w:pStyle w:val="ListParagraph"/>
        <w:numPr>
          <w:ilvl w:val="0"/>
          <w:numId w:val="2"/>
        </w:numPr>
        <w:spacing w:after="60" w:before="60"/>
      </w:pPr>
      <w:r>
        <w:rPr>
          <w:rFonts w:ascii="Arial" w:cs="Arial" w:eastAsia="Arial" w:hAnsi="Arial"/>
          <w:sz w:val="22"/>
          <w:szCs w:val="22"/>
        </w:rPr>
        <w:t xml:space="preserve">Mumbai: CloudWatch collects node and container metrics via the CloudWatch Agent DaemonSet; Prometheus scrapes kube-state-metrics, node-exporter, and application /metrics endpoints; Grafana dashboards visualise both sources</w:t>
      </w:r>
    </w:p>
    <w:p>
      <w:pPr>
        <w:pStyle w:val="ListParagraph"/>
        <w:numPr>
          <w:ilvl w:val="0"/>
          <w:numId w:val="2"/>
        </w:numPr>
        <w:spacing w:after="60" w:before="60"/>
      </w:pPr>
      <w:r>
        <w:rPr>
          <w:rFonts w:ascii="Arial" w:cs="Arial" w:eastAsia="Arial" w:hAnsi="Arial"/>
          <w:sz w:val="22"/>
          <w:szCs w:val="22"/>
        </w:rPr>
        <w:t xml:space="preserve">Hyderabad: Identical stack deployed in standby; Prometheus is active but the cluster runs at reduced replica count, so metrics volume is lower</w:t>
      </w:r>
    </w:p>
    <w:p>
      <w:pPr>
        <w:pStyle w:val="ListParagraph"/>
        <w:numPr>
          <w:ilvl w:val="0"/>
          <w:numId w:val="2"/>
        </w:numPr>
        <w:spacing w:after="60" w:before="60"/>
      </w:pPr>
      <w:r>
        <w:rPr>
          <w:rFonts w:ascii="Arial" w:cs="Arial" w:eastAsia="Arial" w:hAnsi="Arial"/>
          <w:sz w:val="22"/>
          <w:szCs w:val="22"/>
        </w:rPr>
        <w:t xml:space="preserve">Cross-region: There is no metric federation between regions in this design. Each region’s Grafana instance is authoritative for its own cluster</w:t>
      </w:r>
    </w:p>
    <w:p>
      <w:pPr>
        <w:pStyle w:val="Heading2"/>
        <w:spacing w:after="80" w:before="280"/>
      </w:pPr>
      <w:r>
        <w:rPr>
          <w:rFonts w:ascii="Arial" w:cs="Arial" w:eastAsia="Arial" w:hAnsi="Arial"/>
          <w:b/>
          <w:bCs/>
          <w:color w:val="2E74B5"/>
          <w:sz w:val="26"/>
          <w:szCs w:val="26"/>
        </w:rPr>
        <w:t xml:space="preserve">7.2 During a Mumbai Failure</w:t>
      </w:r>
    </w:p>
    <w:p>
      <w:pPr>
        <w:spacing w:after="80" w:before="80"/>
      </w:pPr>
      <w:r>
        <w:rPr>
          <w:rFonts w:ascii="Arial" w:cs="Arial" w:eastAsia="Arial" w:hAnsi="Arial"/>
          <w:sz w:val="22"/>
          <w:szCs w:val="22"/>
        </w:rPr>
        <w:t xml:space="preserve">When Mumbai begins to fail, the observability stack exhibits predictable degradation patterns that serve as early warning signals:</w:t>
      </w:r>
    </w:p>
    <w:p>
      <w:pPr>
        <w:pStyle w:val="ListParagraph"/>
        <w:numPr>
          <w:ilvl w:val="0"/>
          <w:numId w:val="2"/>
        </w:numPr>
        <w:spacing w:after="60" w:before="60"/>
      </w:pPr>
      <w:r>
        <w:rPr>
          <w:rFonts w:ascii="Arial" w:cs="Arial" w:eastAsia="Arial" w:hAnsi="Arial"/>
          <w:sz w:val="22"/>
          <w:szCs w:val="22"/>
        </w:rPr>
        <w:t xml:space="preserve">CloudWatch: Alarms on EKS control plane API latency, ALB 5xx rate, and node NotReady count will fire before users report impact. These are the primary automated DR decision inputs</w:t>
      </w:r>
    </w:p>
    <w:p>
      <w:pPr>
        <w:pStyle w:val="ListParagraph"/>
        <w:numPr>
          <w:ilvl w:val="0"/>
          <w:numId w:val="2"/>
        </w:numPr>
        <w:spacing w:after="60" w:before="60"/>
      </w:pPr>
      <w:r>
        <w:rPr>
          <w:rFonts w:ascii="Arial" w:cs="Arial" w:eastAsia="Arial" w:hAnsi="Arial"/>
          <w:sz w:val="22"/>
          <w:szCs w:val="22"/>
        </w:rPr>
        <w:t xml:space="preserve">Prometheus: Remote write to AWS Managed Prometheus (AMP) will fail if the AMP workspace endpoint in ap-south-1 becomes unreachable. Prometheus local TSDB continues to buffer metrics for up to 2 hours (default WAL retention). Metrics are not lost immediately</w:t>
      </w:r>
    </w:p>
    <w:p>
      <w:pPr>
        <w:pStyle w:val="ListParagraph"/>
        <w:numPr>
          <w:ilvl w:val="0"/>
          <w:numId w:val="2"/>
        </w:numPr>
        <w:spacing w:after="60" w:before="60"/>
      </w:pPr>
      <w:r>
        <w:rPr>
          <w:rFonts w:ascii="Arial" w:cs="Arial" w:eastAsia="Arial" w:hAnsi="Arial"/>
          <w:sz w:val="22"/>
          <w:szCs w:val="22"/>
        </w:rPr>
        <w:t xml:space="preserve">Grafana: Dashboards will show stale data once Prometheus stops remote-writing. The Grafana instance itself may become inaccessible if the EKS cluster is down. The aws-sigv4-proxy sidecar does not add resilience against cluster-level failure</w:t>
      </w:r>
    </w:p>
    <w:p>
      <w:pPr>
        <w:pStyle w:val="ListParagraph"/>
        <w:numPr>
          <w:ilvl w:val="0"/>
          <w:numId w:val="2"/>
        </w:numPr>
        <w:spacing w:after="60" w:before="60"/>
      </w:pPr>
      <w:r>
        <w:rPr>
          <w:rFonts w:ascii="Arial" w:cs="Arial" w:eastAsia="Arial" w:hAnsi="Arial"/>
          <w:sz w:val="22"/>
          <w:szCs w:val="22"/>
        </w:rPr>
        <w:t xml:space="preserve">Alert routing: PagerDuty / SNS alerts should be configured to escalate after 5 minutes of missed heartbeat from the Mumbai Prometheus. This prevents a silent failure where alerting itself is down</w:t>
      </w:r>
    </w:p>
    <w:p>
      <w:pPr>
        <w:pStyle w:val="Heading2"/>
        <w:spacing w:after="80" w:before="280"/>
      </w:pPr>
      <w:r>
        <w:rPr>
          <w:rFonts w:ascii="Arial" w:cs="Arial" w:eastAsia="Arial" w:hAnsi="Arial"/>
          <w:b/>
          <w:bCs/>
          <w:color w:val="2E74B5"/>
          <w:sz w:val="26"/>
          <w:szCs w:val="26"/>
        </w:rPr>
        <w:t xml:space="preserve">7.3 After Failover to Hyderabad</w:t>
      </w:r>
    </w:p>
    <w:p>
      <w:pPr>
        <w:pStyle w:val="ListParagraph"/>
        <w:numPr>
          <w:ilvl w:val="0"/>
          <w:numId w:val="2"/>
        </w:numPr>
        <w:spacing w:after="60" w:before="60"/>
      </w:pPr>
      <w:r>
        <w:rPr>
          <w:rFonts w:ascii="Arial" w:cs="Arial" w:eastAsia="Arial" w:hAnsi="Arial"/>
          <w:sz w:val="22"/>
          <w:szCs w:val="22"/>
        </w:rPr>
        <w:t xml:space="preserve">The Hyderabad Prometheus and Grafana become the authoritative observability plane</w:t>
      </w:r>
    </w:p>
    <w:p>
      <w:pPr>
        <w:pStyle w:val="ListParagraph"/>
        <w:numPr>
          <w:ilvl w:val="0"/>
          <w:numId w:val="2"/>
        </w:numPr>
        <w:spacing w:after="60" w:before="60"/>
      </w:pPr>
      <w:r>
        <w:rPr>
          <w:rFonts w:ascii="Arial" w:cs="Arial" w:eastAsia="Arial" w:hAnsi="Arial"/>
          <w:sz w:val="22"/>
          <w:szCs w:val="22"/>
        </w:rPr>
        <w:t xml:space="preserve">Grafana data sources must be updated (or pre-configured) to point to the Hyderabad AMP workspace ARN; this should be pre-configured in Terraform to avoid manual steps during an incident</w:t>
      </w:r>
    </w:p>
    <w:p>
      <w:pPr>
        <w:pStyle w:val="ListParagraph"/>
        <w:numPr>
          <w:ilvl w:val="0"/>
          <w:numId w:val="2"/>
        </w:numPr>
        <w:spacing w:after="60" w:before="60"/>
      </w:pPr>
      <w:r>
        <w:rPr>
          <w:rFonts w:ascii="Arial" w:cs="Arial" w:eastAsia="Arial" w:hAnsi="Arial"/>
          <w:sz w:val="22"/>
          <w:szCs w:val="22"/>
        </w:rPr>
        <w:t xml:space="preserve">CloudWatch alarms in Hyderabad are independently scoped to the DR cluster; no reconfiguration is needed</w:t>
      </w:r>
    </w:p>
    <w:p>
      <w:pPr>
        <w:pStyle w:val="ListParagraph"/>
        <w:numPr>
          <w:ilvl w:val="0"/>
          <w:numId w:val="2"/>
        </w:numPr>
        <w:spacing w:after="60" w:before="60"/>
      </w:pPr>
      <w:r>
        <w:rPr>
          <w:rFonts w:ascii="Arial" w:cs="Arial" w:eastAsia="Arial" w:hAnsi="Arial"/>
          <w:sz w:val="22"/>
          <w:szCs w:val="22"/>
        </w:rPr>
        <w:t xml:space="preserve">Historical metrics from Mumbai are retained in the Mumbai AMP workspace and can be queried post-incident for forensic analysis once the region recovers</w:t>
      </w:r>
    </w:p>
    <w:p>
      <w:pPr>
        <w:pStyle w:val="ListParagraph"/>
        <w:numPr>
          <w:ilvl w:val="0"/>
          <w:numId w:val="2"/>
        </w:numPr>
        <w:spacing w:after="60" w:before="60"/>
      </w:pPr>
      <w:r>
        <w:rPr>
          <w:rFonts w:ascii="Arial" w:cs="Arial" w:eastAsia="Arial" w:hAnsi="Arial"/>
          <w:sz w:val="22"/>
          <w:szCs w:val="22"/>
        </w:rPr>
        <w:t xml:space="preserve">Gaps in Prometheus time series during the failover window are expected and should be annotated in Grafana using the Annotations API as part of the recovery runbook</w:t>
      </w:r>
    </w:p>
    <w:p>
      <w:r>
        <w:br w:type="page"/>
      </w:r>
    </w:p>
    <w:p>
      <w:pPr>
        <w:pStyle w:val="Heading1"/>
        <w:spacing w:after="120" w:before="360"/>
      </w:pPr>
      <w:r>
        <w:rPr>
          <w:rFonts w:ascii="Arial" w:cs="Arial" w:eastAsia="Arial" w:hAnsi="Arial"/>
          <w:b/>
          <w:bCs/>
          <w:color w:val="1F4E79"/>
          <w:sz w:val="32"/>
          <w:szCs w:val="32"/>
        </w:rPr>
        <w:t xml:space="preserve">8. High-Level Recovery Runbook</w:t>
      </w:r>
    </w:p>
    <w:p>
      <w:pPr>
        <w:pBdr>
          <w:bottom w:val="single" w:color="2E74B5" w:sz="4" w:space="1"/>
        </w:pBdr>
        <w:spacing w:after="120" w:before="120"/>
      </w:pPr>
    </w:p>
    <w:p>
      <w:pPr>
        <w:spacing w:after="80" w:before="80"/>
      </w:pPr>
      <w:r>
        <w:rPr>
          <w:rFonts w:ascii="Arial" w:cs="Arial" w:eastAsia="Arial" w:hAnsi="Arial"/>
          <w:sz w:val="22"/>
          <w:szCs w:val="22"/>
        </w:rPr>
        <w:t xml:space="preserve">This runbook covers a full regional failover from Mumbai (ap-south-1) to Hyderabad (ap-south-2). It assumes the DR infrastructure in Hyderabad has been provisioned and validated in the most recent DR drill.</w:t>
      </w:r>
    </w:p>
    <w:p>
      <w:pPr>
        <w:spacing w:after="80" w:before="80"/>
      </w:pPr>
      <w:r>
        <w:rPr>
          <w:rFonts w:ascii="Arial" w:cs="Arial" w:eastAsia="Arial" w:hAnsi="Arial"/>
          <w:sz w:val="22"/>
          <w:szCs w:val="22"/>
        </w:rPr>
        <w:t xml:space="preserve">Estimated total execution time: 45–60 minutes</w:t>
      </w:r>
    </w:p>
    <w:p>
      <w:pPr>
        <w:spacing w:after="80" w:before="80"/>
      </w:pPr>
      <w:r>
        <w:rPr>
          <w:rFonts w:ascii="Arial" w:cs="Arial" w:eastAsia="Arial" w:hAnsi="Arial"/>
          <w:sz w:val="22"/>
          <w:szCs w:val="22"/>
        </w:rPr>
        <w:t xml:space="preserve"/>
      </w:r>
    </w:p>
    <w:p>
      <w:pPr>
        <w:pStyle w:val="Heading2"/>
        <w:spacing w:after="80" w:before="280"/>
      </w:pPr>
      <w:r>
        <w:rPr>
          <w:rFonts w:ascii="Arial" w:cs="Arial" w:eastAsia="Arial" w:hAnsi="Arial"/>
          <w:b/>
          <w:bCs/>
          <w:color w:val="2E74B5"/>
          <w:sz w:val="26"/>
          <w:szCs w:val="26"/>
        </w:rPr>
        <w:t xml:space="preserve">Phase 1: Declare Incident (0–5 min)</w:t>
      </w:r>
    </w:p>
    <w:p>
      <w:pPr>
        <w:pStyle w:val="ListParagraph"/>
        <w:numPr>
          <w:ilvl w:val="0"/>
          <w:numId w:val="3"/>
        </w:numPr>
        <w:spacing w:after="60" w:before="60"/>
      </w:pPr>
      <w:r>
        <w:rPr>
          <w:rFonts w:ascii="Arial" w:cs="Arial" w:eastAsia="Arial" w:hAnsi="Arial"/>
          <w:sz w:val="22"/>
          <w:szCs w:val="22"/>
        </w:rPr>
        <w:t xml:space="preserve">On-Call Lead confirms Mumbai is unreachable via CloudWatch alarms and manual health check of the Mumbai ALB endpoint</w:t>
      </w:r>
    </w:p>
    <w:p>
      <w:pPr>
        <w:pStyle w:val="ListParagraph"/>
        <w:numPr>
          <w:ilvl w:val="0"/>
          <w:numId w:val="3"/>
        </w:numPr>
        <w:spacing w:after="60" w:before="60"/>
      </w:pPr>
      <w:r>
        <w:rPr>
          <w:rFonts w:ascii="Arial" w:cs="Arial" w:eastAsia="Arial" w:hAnsi="Arial"/>
          <w:sz w:val="22"/>
          <w:szCs w:val="22"/>
        </w:rPr>
        <w:t xml:space="preserve">Post incident in #incidents Slack channel: “DR invoked for TaskFlow — failing over to Hyderabad”</w:t>
      </w:r>
    </w:p>
    <w:p>
      <w:pPr>
        <w:pStyle w:val="ListParagraph"/>
        <w:numPr>
          <w:ilvl w:val="0"/>
          <w:numId w:val="3"/>
        </w:numPr>
        <w:spacing w:after="60" w:before="60"/>
      </w:pPr>
      <w:r>
        <w:rPr>
          <w:rFonts w:ascii="Arial" w:cs="Arial" w:eastAsia="Arial" w:hAnsi="Arial"/>
          <w:sz w:val="22"/>
          <w:szCs w:val="22"/>
        </w:rPr>
        <w:t xml:space="preserve">Notify stakeholders; set status page to “Investigating”</w:t>
      </w:r>
    </w:p>
    <w:p>
      <w:pPr>
        <w:pStyle w:val="Heading2"/>
        <w:spacing w:after="80" w:before="280"/>
      </w:pPr>
      <w:r>
        <w:rPr>
          <w:rFonts w:ascii="Arial" w:cs="Arial" w:eastAsia="Arial" w:hAnsi="Arial"/>
          <w:b/>
          <w:bCs/>
          <w:color w:val="2E74B5"/>
          <w:sz w:val="26"/>
          <w:szCs w:val="26"/>
        </w:rPr>
        <w:t xml:space="preserve">Phase 2: Freeze Mumbai Writes (5–10 min)</w:t>
      </w:r>
    </w:p>
    <w:p>
      <w:pPr>
        <w:pStyle w:val="ListParagraph"/>
        <w:numPr>
          <w:ilvl w:val="0"/>
          <w:numId w:val="3"/>
        </w:numPr>
        <w:spacing w:after="60" w:before="60"/>
      </w:pPr>
      <w:r>
        <w:rPr>
          <w:rFonts w:ascii="Arial" w:cs="Arial" w:eastAsia="Arial" w:hAnsi="Arial"/>
          <w:sz w:val="22"/>
          <w:szCs w:val="22"/>
        </w:rPr>
        <w:t xml:space="preserve">If Mumbai is partially reachable: scale Mumbai workloads to zero replicas (kubectl scale --replicas=0) to prevent split-brain writes to the database</w:t>
      </w:r>
    </w:p>
    <w:p>
      <w:pPr>
        <w:pStyle w:val="ListParagraph"/>
        <w:numPr>
          <w:ilvl w:val="0"/>
          <w:numId w:val="3"/>
        </w:numPr>
        <w:spacing w:after="60" w:before="60"/>
      </w:pPr>
      <w:r>
        <w:rPr>
          <w:rFonts w:ascii="Arial" w:cs="Arial" w:eastAsia="Arial" w:hAnsi="Arial"/>
          <w:sz w:val="22"/>
          <w:szCs w:val="22"/>
        </w:rPr>
        <w:t xml:space="preserve">Record the timestamp; this becomes the RPO reference point</w:t>
      </w:r>
    </w:p>
    <w:p>
      <w:pPr>
        <w:pStyle w:val="Heading2"/>
        <w:spacing w:after="80" w:before="280"/>
      </w:pPr>
      <w:r>
        <w:rPr>
          <w:rFonts w:ascii="Arial" w:cs="Arial" w:eastAsia="Arial" w:hAnsi="Arial"/>
          <w:b/>
          <w:bCs/>
          <w:color w:val="2E74B5"/>
          <w:sz w:val="26"/>
          <w:szCs w:val="26"/>
        </w:rPr>
        <w:t xml:space="preserve">Phase 3: Promote Data Stores (10–20 min)</w:t>
      </w:r>
    </w:p>
    <w:p>
      <w:pPr>
        <w:pStyle w:val="ListParagraph"/>
        <w:numPr>
          <w:ilvl w:val="0"/>
          <w:numId w:val="3"/>
        </w:numPr>
        <w:spacing w:after="60" w:before="60"/>
      </w:pPr>
      <w:r>
        <w:rPr>
          <w:rFonts w:ascii="Arial" w:cs="Arial" w:eastAsia="Arial" w:hAnsi="Arial"/>
          <w:sz w:val="22"/>
          <w:szCs w:val="22"/>
        </w:rPr>
        <w:t xml:space="preserve">EFS: Using AWS Console or CLI, break the EFS replication relationship for the Hyderabad target; promote it to a writable standalone file system: aws efs delete-replication-configuration --source-file-system-id &lt;mumbai-efs-id&gt;</w:t>
      </w:r>
    </w:p>
    <w:p>
      <w:pPr>
        <w:pStyle w:val="ListParagraph"/>
        <w:numPr>
          <w:ilvl w:val="0"/>
          <w:numId w:val="3"/>
        </w:numPr>
        <w:spacing w:after="60" w:before="60"/>
      </w:pPr>
      <w:r>
        <w:rPr>
          <w:rFonts w:ascii="Arial" w:cs="Arial" w:eastAsia="Arial" w:hAnsi="Arial"/>
          <w:sz w:val="22"/>
          <w:szCs w:val="22"/>
        </w:rPr>
        <w:t xml:space="preserve">Database (RDS): Run aws rds promote-read-replica --db-instance-identifier pip-dr-postgres and wait for status = available</w:t>
      </w:r>
    </w:p>
    <w:p>
      <w:pPr>
        <w:pStyle w:val="ListParagraph"/>
        <w:numPr>
          <w:ilvl w:val="0"/>
          <w:numId w:val="3"/>
        </w:numPr>
        <w:spacing w:after="60" w:before="60"/>
      </w:pPr>
      <w:r>
        <w:rPr>
          <w:rFonts w:ascii="Arial" w:cs="Arial" w:eastAsia="Arial" w:hAnsi="Arial"/>
          <w:sz w:val="22"/>
          <w:szCs w:val="22"/>
        </w:rPr>
        <w:t xml:space="preserve">Database (EBS-backed EKS): Identify latest DLM snapshot; restore as new EBS volume in ap-south-2; bind to DR PersistentVolumeClaim</w:t>
      </w:r>
    </w:p>
    <w:p>
      <w:pPr>
        <w:pStyle w:val="ListParagraph"/>
        <w:numPr>
          <w:ilvl w:val="0"/>
          <w:numId w:val="3"/>
        </w:numPr>
        <w:spacing w:after="60" w:before="60"/>
      </w:pPr>
      <w:r>
        <w:rPr>
          <w:rFonts w:ascii="Arial" w:cs="Arial" w:eastAsia="Arial" w:hAnsi="Arial"/>
          <w:sz w:val="22"/>
          <w:szCs w:val="22"/>
        </w:rPr>
        <w:t xml:space="preserve">Update the pip/dr/taskflow/db secret in Hyderabad Secrets Manager with the promoted database endpoint</w:t>
      </w:r>
    </w:p>
    <w:p>
      <w:pPr>
        <w:pStyle w:val="Heading2"/>
        <w:spacing w:after="80" w:before="280"/>
      </w:pPr>
      <w:r>
        <w:rPr>
          <w:rFonts w:ascii="Arial" w:cs="Arial" w:eastAsia="Arial" w:hAnsi="Arial"/>
          <w:b/>
          <w:bCs/>
          <w:color w:val="2E74B5"/>
          <w:sz w:val="26"/>
          <w:szCs w:val="26"/>
        </w:rPr>
        <w:t xml:space="preserve">Phase 4: Scale Up DR Workloads (20–30 min)</w:t>
      </w:r>
    </w:p>
    <w:p>
      <w:pPr>
        <w:pStyle w:val="ListParagraph"/>
        <w:numPr>
          <w:ilvl w:val="0"/>
          <w:numId w:val="3"/>
        </w:numPr>
        <w:spacing w:after="60" w:before="60"/>
      </w:pPr>
      <w:r>
        <w:rPr>
          <w:rFonts w:ascii="Arial" w:cs="Arial" w:eastAsia="Arial" w:hAnsi="Arial"/>
          <w:sz w:val="22"/>
          <w:szCs w:val="22"/>
        </w:rPr>
        <w:t xml:space="preserve">Run terraform apply -var-file=hyderabad.tfvars targeting the DR cluster to scale node groups to production capacity</w:t>
      </w:r>
    </w:p>
    <w:p>
      <w:pPr>
        <w:pStyle w:val="ListParagraph"/>
        <w:numPr>
          <w:ilvl w:val="0"/>
          <w:numId w:val="3"/>
        </w:numPr>
        <w:spacing w:after="60" w:before="60"/>
      </w:pPr>
      <w:r>
        <w:rPr>
          <w:rFonts w:ascii="Arial" w:cs="Arial" w:eastAsia="Arial" w:hAnsi="Arial"/>
          <w:sz w:val="22"/>
          <w:szCs w:val="22"/>
        </w:rPr>
        <w:t xml:space="preserve">ArgoCD in the DR cluster syncs automatically from the Git repository; verify all three Application resources (frontend, backend, db) show Healthy</w:t>
      </w:r>
    </w:p>
    <w:p>
      <w:pPr>
        <w:pStyle w:val="ListParagraph"/>
        <w:numPr>
          <w:ilvl w:val="0"/>
          <w:numId w:val="3"/>
        </w:numPr>
        <w:spacing w:after="60" w:before="60"/>
      </w:pPr>
      <w:r>
        <w:rPr>
          <w:rFonts w:ascii="Arial" w:cs="Arial" w:eastAsia="Arial" w:hAnsi="Arial"/>
          <w:sz w:val="22"/>
          <w:szCs w:val="22"/>
        </w:rPr>
        <w:t xml:space="preserve">Validate pod readiness: kubectl get pods -A -n app; all pods should be Running</w:t>
      </w:r>
    </w:p>
    <w:p>
      <w:pPr>
        <w:pStyle w:val="ListParagraph"/>
        <w:numPr>
          <w:ilvl w:val="0"/>
          <w:numId w:val="3"/>
        </w:numPr>
        <w:spacing w:after="60" w:before="60"/>
      </w:pPr>
      <w:r>
        <w:rPr>
          <w:rFonts w:ascii="Arial" w:cs="Arial" w:eastAsia="Arial" w:hAnsi="Arial"/>
          <w:sz w:val="22"/>
          <w:szCs w:val="22"/>
        </w:rPr>
        <w:t xml:space="preserve">Run smoke test suite against the Hyderabad ALB endpoint (internal DNS, not yet public)</w:t>
      </w:r>
    </w:p>
    <w:p>
      <w:pPr>
        <w:pStyle w:val="Heading2"/>
        <w:spacing w:after="80" w:before="280"/>
      </w:pPr>
      <w:r>
        <w:rPr>
          <w:rFonts w:ascii="Arial" w:cs="Arial" w:eastAsia="Arial" w:hAnsi="Arial"/>
          <w:b/>
          <w:bCs/>
          <w:color w:val="2E74B5"/>
          <w:sz w:val="26"/>
          <w:szCs w:val="26"/>
        </w:rPr>
        <w:t xml:space="preserve">Phase 5: DNS Cutover (30–35 min)</w:t>
      </w:r>
    </w:p>
    <w:p>
      <w:pPr>
        <w:pStyle w:val="ListParagraph"/>
        <w:numPr>
          <w:ilvl w:val="0"/>
          <w:numId w:val="3"/>
        </w:numPr>
        <w:spacing w:after="60" w:before="60"/>
      </w:pPr>
      <w:r>
        <w:rPr>
          <w:rFonts w:ascii="Arial" w:cs="Arial" w:eastAsia="Arial" w:hAnsi="Arial"/>
          <w:sz w:val="22"/>
          <w:szCs w:val="22"/>
        </w:rPr>
        <w:t xml:space="preserve">In Route 53, update the primary failover record to point to the Hyderabad ALB. If health-check-based failover is already configured, this may have occurred automatically</w:t>
      </w:r>
    </w:p>
    <w:p>
      <w:pPr>
        <w:pStyle w:val="ListParagraph"/>
        <w:numPr>
          <w:ilvl w:val="0"/>
          <w:numId w:val="3"/>
        </w:numPr>
        <w:spacing w:after="60" w:before="60"/>
      </w:pPr>
      <w:r>
        <w:rPr>
          <w:rFonts w:ascii="Arial" w:cs="Arial" w:eastAsia="Arial" w:hAnsi="Arial"/>
          <w:sz w:val="22"/>
          <w:szCs w:val="22"/>
        </w:rPr>
        <w:t xml:space="preserve">Reduce TTL on the DNS record to 60 seconds (should have been pre-set to 60s as a standing configuration to enable fast failover)</w:t>
      </w:r>
    </w:p>
    <w:p>
      <w:pPr>
        <w:pStyle w:val="ListParagraph"/>
        <w:numPr>
          <w:ilvl w:val="0"/>
          <w:numId w:val="3"/>
        </w:numPr>
        <w:spacing w:after="60" w:before="60"/>
      </w:pPr>
      <w:r>
        <w:rPr>
          <w:rFonts w:ascii="Arial" w:cs="Arial" w:eastAsia="Arial" w:hAnsi="Arial"/>
          <w:sz w:val="22"/>
          <w:szCs w:val="22"/>
        </w:rPr>
        <w:t xml:space="preserve">Monitor ALB access logs and Prometheus ingress metrics; confirm traffic is arriving at Hyderabad targets</w:t>
      </w:r>
    </w:p>
    <w:p>
      <w:pPr>
        <w:pStyle w:val="Heading2"/>
        <w:spacing w:after="80" w:before="280"/>
      </w:pPr>
      <w:r>
        <w:rPr>
          <w:rFonts w:ascii="Arial" w:cs="Arial" w:eastAsia="Arial" w:hAnsi="Arial"/>
          <w:b/>
          <w:bCs/>
          <w:color w:val="2E74B5"/>
          <w:sz w:val="26"/>
          <w:szCs w:val="26"/>
        </w:rPr>
        <w:t xml:space="preserve">Phase 6: Declare Recovery (35–60 min)</w:t>
      </w:r>
    </w:p>
    <w:p>
      <w:pPr>
        <w:pStyle w:val="ListParagraph"/>
        <w:numPr>
          <w:ilvl w:val="0"/>
          <w:numId w:val="3"/>
        </w:numPr>
        <w:spacing w:after="60" w:before="60"/>
      </w:pPr>
      <w:r>
        <w:rPr>
          <w:rFonts w:ascii="Arial" w:cs="Arial" w:eastAsia="Arial" w:hAnsi="Arial"/>
          <w:sz w:val="22"/>
          <w:szCs w:val="22"/>
        </w:rPr>
        <w:t xml:space="preserve">Confirm application is functional end-to-end via functional smoke test (create task, update task, delete task)</w:t>
      </w:r>
    </w:p>
    <w:p>
      <w:pPr>
        <w:pStyle w:val="ListParagraph"/>
        <w:numPr>
          <w:ilvl w:val="0"/>
          <w:numId w:val="3"/>
        </w:numPr>
        <w:spacing w:after="60" w:before="60"/>
      </w:pPr>
      <w:r>
        <w:rPr>
          <w:rFonts w:ascii="Arial" w:cs="Arial" w:eastAsia="Arial" w:hAnsi="Arial"/>
          <w:sz w:val="22"/>
          <w:szCs w:val="22"/>
        </w:rPr>
        <w:t xml:space="preserve">Update status page to “Monitoring”</w:t>
      </w:r>
    </w:p>
    <w:p>
      <w:pPr>
        <w:pStyle w:val="ListParagraph"/>
        <w:numPr>
          <w:ilvl w:val="0"/>
          <w:numId w:val="3"/>
        </w:numPr>
        <w:spacing w:after="60" w:before="60"/>
      </w:pPr>
      <w:r>
        <w:rPr>
          <w:rFonts w:ascii="Arial" w:cs="Arial" w:eastAsia="Arial" w:hAnsi="Arial"/>
          <w:sz w:val="22"/>
          <w:szCs w:val="22"/>
        </w:rPr>
        <w:t xml:space="preserve">Post recovery declaration in #incidents with timestamp; record actual RTO achieved</w:t>
      </w:r>
    </w:p>
    <w:p>
      <w:pPr>
        <w:pStyle w:val="ListParagraph"/>
        <w:numPr>
          <w:ilvl w:val="0"/>
          <w:numId w:val="3"/>
        </w:numPr>
        <w:spacing w:after="60" w:before="60"/>
      </w:pPr>
      <w:r>
        <w:rPr>
          <w:rFonts w:ascii="Arial" w:cs="Arial" w:eastAsia="Arial" w:hAnsi="Arial"/>
          <w:sz w:val="22"/>
          <w:szCs w:val="22"/>
        </w:rPr>
        <w:t xml:space="preserve">Schedule post-mortem within 48 hours; document data loss window (actual RPO achieved)</w:t>
      </w:r>
    </w:p>
    <w:p>
      <w:r>
        <w:br w:type="page"/>
      </w:r>
    </w:p>
    <w:p>
      <w:pPr>
        <w:pStyle w:val="Heading1"/>
        <w:spacing w:after="120" w:before="360"/>
      </w:pPr>
      <w:r>
        <w:rPr>
          <w:rFonts w:ascii="Arial" w:cs="Arial" w:eastAsia="Arial" w:hAnsi="Arial"/>
          <w:b/>
          <w:bCs/>
          <w:color w:val="1F4E79"/>
          <w:sz w:val="32"/>
          <w:szCs w:val="32"/>
        </w:rPr>
        <w:t xml:space="preserve">9. DR Readiness Pre-conditions</w:t>
      </w:r>
    </w:p>
    <w:p>
      <w:pPr>
        <w:pBdr>
          <w:bottom w:val="single" w:color="2E74B5" w:sz="4" w:space="1"/>
        </w:pBdr>
        <w:spacing w:after="120" w:before="120"/>
      </w:pPr>
    </w:p>
    <w:p>
      <w:pPr>
        <w:spacing w:after="80" w:before="80"/>
      </w:pPr>
      <w:r>
        <w:rPr>
          <w:rFonts w:ascii="Arial" w:cs="Arial" w:eastAsia="Arial" w:hAnsi="Arial"/>
          <w:sz w:val="22"/>
          <w:szCs w:val="22"/>
        </w:rPr>
        <w:t xml:space="preserve">The runbook above is only executable if the following standing configurations are maintained. These should be validated during quarterly DR drills.</w:t>
      </w:r>
    </w:p>
    <w:p>
      <w:pPr>
        <w:pStyle w:val="Heading2"/>
        <w:spacing w:after="80" w:before="280"/>
      </w:pPr>
      <w:r>
        <w:rPr>
          <w:rFonts w:ascii="Arial" w:cs="Arial" w:eastAsia="Arial" w:hAnsi="Arial"/>
          <w:b/>
          <w:bCs/>
          <w:color w:val="2E74B5"/>
          <w:sz w:val="26"/>
          <w:szCs w:val="26"/>
        </w:rPr>
        <w:t xml:space="preserve">9.1 Infrastructure</w:t>
      </w:r>
    </w:p>
    <w:p>
      <w:pPr>
        <w:pStyle w:val="ListParagraph"/>
        <w:numPr>
          <w:ilvl w:val="0"/>
          <w:numId w:val="2"/>
        </w:numPr>
        <w:spacing w:after="60" w:before="60"/>
      </w:pPr>
      <w:r>
        <w:rPr>
          <w:rFonts w:ascii="Arial" w:cs="Arial" w:eastAsia="Arial" w:hAnsi="Arial"/>
          <w:sz w:val="22"/>
          <w:szCs w:val="22"/>
        </w:rPr>
        <w:t xml:space="preserve">Hyderabad EKS cluster is provisioned and reachable from the designated EC2 jump host or CloudShell</w:t>
      </w:r>
    </w:p>
    <w:p>
      <w:pPr>
        <w:pStyle w:val="ListParagraph"/>
        <w:numPr>
          <w:ilvl w:val="0"/>
          <w:numId w:val="2"/>
        </w:numPr>
        <w:spacing w:after="60" w:before="60"/>
      </w:pPr>
      <w:r>
        <w:rPr>
          <w:rFonts w:ascii="Arial" w:cs="Arial" w:eastAsia="Arial" w:hAnsi="Arial"/>
          <w:sz w:val="22"/>
          <w:szCs w:val="22"/>
        </w:rPr>
        <w:t xml:space="preserve">Worker node groups in Hyderabad are deployed at minimum scale (1 node per AZ); scaling to production capacity is the DR invocation action</w:t>
      </w:r>
    </w:p>
    <w:p>
      <w:pPr>
        <w:pStyle w:val="ListParagraph"/>
        <w:numPr>
          <w:ilvl w:val="0"/>
          <w:numId w:val="2"/>
        </w:numPr>
        <w:spacing w:after="60" w:before="60"/>
      </w:pPr>
      <w:r>
        <w:rPr>
          <w:rFonts w:ascii="Arial" w:cs="Arial" w:eastAsia="Arial" w:hAnsi="Arial"/>
          <w:sz w:val="22"/>
          <w:szCs w:val="22"/>
        </w:rPr>
        <w:t xml:space="preserve">AWS Transit Gateway peering between ap-south-1 and ap-south-2 is active and healthy</w:t>
      </w:r>
    </w:p>
    <w:p>
      <w:pPr>
        <w:pStyle w:val="ListParagraph"/>
        <w:numPr>
          <w:ilvl w:val="0"/>
          <w:numId w:val="2"/>
        </w:numPr>
        <w:spacing w:after="60" w:before="60"/>
      </w:pPr>
      <w:r>
        <w:rPr>
          <w:rFonts w:ascii="Arial" w:cs="Arial" w:eastAsia="Arial" w:hAnsi="Arial"/>
          <w:sz w:val="22"/>
          <w:szCs w:val="22"/>
        </w:rPr>
        <w:t xml:space="preserve">EFS replication is active and replication lag is monitored via CloudWatch metric ReplicationLatency &lt; 900 seconds</w:t>
      </w:r>
    </w:p>
    <w:p>
      <w:pPr>
        <w:pStyle w:val="ListParagraph"/>
        <w:numPr>
          <w:ilvl w:val="0"/>
          <w:numId w:val="2"/>
        </w:numPr>
        <w:spacing w:after="60" w:before="60"/>
      </w:pPr>
      <w:r>
        <w:rPr>
          <w:rFonts w:ascii="Arial" w:cs="Arial" w:eastAsia="Arial" w:hAnsi="Arial"/>
          <w:sz w:val="22"/>
          <w:szCs w:val="22"/>
        </w:rPr>
        <w:t xml:space="preserve">ArgoCD is installed in the Hyderabad cluster and has a valid Git token; auto-sync is enabled</w:t>
      </w:r>
    </w:p>
    <w:p>
      <w:pPr>
        <w:pStyle w:val="Heading2"/>
        <w:spacing w:after="80" w:before="280"/>
      </w:pPr>
      <w:r>
        <w:rPr>
          <w:rFonts w:ascii="Arial" w:cs="Arial" w:eastAsia="Arial" w:hAnsi="Arial"/>
          <w:b/>
          <w:bCs/>
          <w:color w:val="2E74B5"/>
          <w:sz w:val="26"/>
          <w:szCs w:val="26"/>
        </w:rPr>
        <w:t xml:space="preserve">9.2 Data Protection</w:t>
      </w:r>
    </w:p>
    <w:p>
      <w:pPr>
        <w:pStyle w:val="ListParagraph"/>
        <w:numPr>
          <w:ilvl w:val="0"/>
          <w:numId w:val="2"/>
        </w:numPr>
        <w:spacing w:after="60" w:before="60"/>
      </w:pPr>
      <w:r>
        <w:rPr>
          <w:rFonts w:ascii="Arial" w:cs="Arial" w:eastAsia="Arial" w:hAnsi="Arial"/>
          <w:sz w:val="22"/>
          <w:szCs w:val="22"/>
        </w:rPr>
        <w:t xml:space="preserve">S3 Terraform state bucket CRR is verified active (check S3 replication metrics monthly)</w:t>
      </w:r>
    </w:p>
    <w:p>
      <w:pPr>
        <w:pStyle w:val="ListParagraph"/>
        <w:numPr>
          <w:ilvl w:val="0"/>
          <w:numId w:val="2"/>
        </w:numPr>
        <w:spacing w:after="60" w:before="60"/>
      </w:pPr>
      <w:r>
        <w:rPr>
          <w:rFonts w:ascii="Arial" w:cs="Arial" w:eastAsia="Arial" w:hAnsi="Arial"/>
          <w:sz w:val="22"/>
          <w:szCs w:val="22"/>
        </w:rPr>
        <w:t xml:space="preserve">DLM snapshot policy is active and last successful snapshot is &lt; 10 minutes old at any given time</w:t>
      </w:r>
    </w:p>
    <w:p>
      <w:pPr>
        <w:pStyle w:val="ListParagraph"/>
        <w:numPr>
          <w:ilvl w:val="0"/>
          <w:numId w:val="2"/>
        </w:numPr>
        <w:spacing w:after="60" w:before="60"/>
      </w:pPr>
      <w:r>
        <w:rPr>
          <w:rFonts w:ascii="Arial" w:cs="Arial" w:eastAsia="Arial" w:hAnsi="Arial"/>
          <w:sz w:val="22"/>
          <w:szCs w:val="22"/>
        </w:rPr>
        <w:t xml:space="preserve">Secrets Manager multi-region secret replication is active for all pip/dev/taskflow/* paths</w:t>
      </w:r>
    </w:p>
    <w:p>
      <w:pPr>
        <w:pStyle w:val="ListParagraph"/>
        <w:numPr>
          <w:ilvl w:val="0"/>
          <w:numId w:val="2"/>
        </w:numPr>
        <w:spacing w:after="60" w:before="60"/>
      </w:pPr>
      <w:r>
        <w:rPr>
          <w:rFonts w:ascii="Arial" w:cs="Arial" w:eastAsia="Arial" w:hAnsi="Arial"/>
          <w:sz w:val="22"/>
          <w:szCs w:val="22"/>
        </w:rPr>
        <w:t xml:space="preserve">RDS read replica replication lag is &lt; 5 minutes (monitored via CloudWatch ReplicaLag metric)</w:t>
      </w:r>
    </w:p>
    <w:p>
      <w:pPr>
        <w:pStyle w:val="Heading2"/>
        <w:spacing w:after="80" w:before="280"/>
      </w:pPr>
      <w:r>
        <w:rPr>
          <w:rFonts w:ascii="Arial" w:cs="Arial" w:eastAsia="Arial" w:hAnsi="Arial"/>
          <w:b/>
          <w:bCs/>
          <w:color w:val="2E74B5"/>
          <w:sz w:val="26"/>
          <w:szCs w:val="26"/>
        </w:rPr>
        <w:t xml:space="preserve">9.3 DNS and Networking</w:t>
      </w:r>
    </w:p>
    <w:p>
      <w:pPr>
        <w:pStyle w:val="ListParagraph"/>
        <w:numPr>
          <w:ilvl w:val="0"/>
          <w:numId w:val="2"/>
        </w:numPr>
        <w:spacing w:after="60" w:before="60"/>
      </w:pPr>
      <w:r>
        <w:rPr>
          <w:rFonts w:ascii="Arial" w:cs="Arial" w:eastAsia="Arial" w:hAnsi="Arial"/>
          <w:sz w:val="22"/>
          <w:szCs w:val="22"/>
        </w:rPr>
        <w:t xml:space="preserve">Route 53 health check is configured against the Mumbai ALB /health endpoint with a 30-second interval and 2-failure threshold</w:t>
      </w:r>
    </w:p>
    <w:p>
      <w:pPr>
        <w:pStyle w:val="ListParagraph"/>
        <w:numPr>
          <w:ilvl w:val="0"/>
          <w:numId w:val="2"/>
        </w:numPr>
        <w:spacing w:after="60" w:before="60"/>
      </w:pPr>
      <w:r>
        <w:rPr>
          <w:rFonts w:ascii="Arial" w:cs="Arial" w:eastAsia="Arial" w:hAnsi="Arial"/>
          <w:sz w:val="22"/>
          <w:szCs w:val="22"/>
        </w:rPr>
        <w:t xml:space="preserve">DNS TTL for the application record is set to 60 seconds (pre-lowered; do not revert to 300s)</w:t>
      </w:r>
    </w:p>
    <w:p>
      <w:pPr>
        <w:pStyle w:val="ListParagraph"/>
        <w:numPr>
          <w:ilvl w:val="0"/>
          <w:numId w:val="2"/>
        </w:numPr>
        <w:spacing w:after="60" w:before="60"/>
      </w:pPr>
      <w:r>
        <w:rPr>
          <w:rFonts w:ascii="Arial" w:cs="Arial" w:eastAsia="Arial" w:hAnsi="Arial"/>
          <w:sz w:val="22"/>
          <w:szCs w:val="22"/>
        </w:rPr>
        <w:t xml:space="preserve">WAF is associated with the Hyderabad ALB; managed rule groups are identical to Mumbai</w:t>
      </w:r>
    </w:p>
    <w:p>
      <w:r>
        <w:br w:type="page"/>
      </w:r>
    </w:p>
    <w:p>
      <w:pPr>
        <w:pStyle w:val="Heading1"/>
        <w:spacing w:after="120" w:before="360"/>
      </w:pPr>
      <w:r>
        <w:rPr>
          <w:rFonts w:ascii="Arial" w:cs="Arial" w:eastAsia="Arial" w:hAnsi="Arial"/>
          <w:b/>
          <w:bCs/>
          <w:color w:val="1F4E79"/>
          <w:sz w:val="32"/>
          <w:szCs w:val="32"/>
        </w:rPr>
        <w:t xml:space="preserve">10. Assumptions and Known Gaps</w:t>
      </w:r>
    </w:p>
    <w:p>
      <w:pPr>
        <w:pBdr>
          <w:bottom w:val="single" w:color="2E74B5" w:sz="4" w:space="1"/>
        </w:pBd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gridSpan w:val="1"/>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Assumption / Gap</w:t>
            </w:r>
          </w:p>
        </w:tc>
        <w:tc>
          <w:tcPr>
            <w:tcW w:type="dxa" w:w="5360"/>
            <w:gridSpan w:val="1"/>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Mitigation / Accepted Risk</w:t>
            </w:r>
          </w:p>
        </w:tc>
      </w:tr>
      <w:tr>
        <w:tc>
          <w:tcPr>
            <w:tcW w:type="dxa" w:w="4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PostgreSQL is RDS-managed (not EBS-backed EKS)</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If EBS-backed, RPO degrades to DLM snapshot frequency. Confirm DB tier architecture before DR drill.</w:t>
            </w:r>
          </w:p>
        </w:tc>
      </w:tr>
      <w:tr>
        <w:tc>
          <w:tcPr>
            <w:tcW w:type="dxa" w:w="40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sz w:val="20"/>
                <w:szCs w:val="20"/>
              </w:rPr>
              <w:t xml:space="preserve">ArgoCD Git token does not expire during incident</w:t>
            </w:r>
          </w:p>
        </w:tc>
        <w:tc>
          <w:tcPr>
            <w:tcW w:type="dxa" w:w="536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sz w:val="20"/>
                <w:szCs w:val="20"/>
              </w:rPr>
              <w:t xml:space="preserve">Use a machine account PAT with 1-year expiry; rotate quarterly</w:t>
            </w:r>
          </w:p>
        </w:tc>
      </w:tr>
      <w:tr>
        <w:tc>
          <w:tcPr>
            <w:tcW w:type="dxa" w:w="4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Terraform executor has access to ap-south-2 backend during Mumbai outage</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S3 backend CRR ensures state is available in Hyderabad region. IAM permissions must be account-wide, not region-scoped</w:t>
            </w:r>
          </w:p>
        </w:tc>
      </w:tr>
      <w:tr>
        <w:tc>
          <w:tcPr>
            <w:tcW w:type="dxa" w:w="40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sz w:val="20"/>
                <w:szCs w:val="20"/>
              </w:rPr>
              <w:t xml:space="preserve">EFS replication lag is within RPO at time of failure</w:t>
            </w:r>
          </w:p>
        </w:tc>
        <w:tc>
          <w:tcPr>
            <w:tcW w:type="dxa" w:w="536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sz w:val="20"/>
                <w:szCs w:val="20"/>
              </w:rPr>
              <w:t xml:space="preserve">Monitor ReplicationLatency continuously; if lag &gt; 10 min, escalate to on-call lead immediately</w:t>
            </w:r>
          </w:p>
        </w:tc>
      </w:tr>
      <w:tr>
        <w:tc>
          <w:tcPr>
            <w:tcW w:type="dxa" w:w="4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Active-Active is not required</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Accepted for v1. Re-evaluate if TaskFlow SLA is upgraded to 99.99%</w:t>
            </w:r>
          </w:p>
        </w:tc>
      </w:tr>
    </w:tbl>
    <w:p>
      <w:pPr>
        <w:spacing w:after="80" w:before="80"/>
      </w:pPr>
      <w:r>
        <w:rPr>
          <w:rFonts w:ascii="Arial" w:cs="Arial" w:eastAsia="Arial" w:hAnsi="Arial"/>
          <w:sz w:val="22"/>
          <w:szCs w:val="22"/>
        </w:rPr>
        <w:t xml:space="preserve"/>
      </w:r>
    </w:p>
    <w:p>
      <w:pPr>
        <w:pStyle w:val="Heading1"/>
        <w:spacing w:after="120" w:before="360"/>
      </w:pPr>
      <w:r>
        <w:rPr>
          <w:rFonts w:ascii="Arial" w:cs="Arial" w:eastAsia="Arial" w:hAnsi="Arial"/>
          <w:b/>
          <w:bCs/>
          <w:color w:val="1F4E79"/>
          <w:sz w:val="32"/>
          <w:szCs w:val="32"/>
        </w:rPr>
        <w:t xml:space="preserve">11. DR Drill Schedule</w:t>
      </w:r>
    </w:p>
    <w:p>
      <w:pPr>
        <w:pBdr>
          <w:bottom w:val="single" w:color="2E74B5" w:sz="4" w:space="1"/>
        </w:pBdr>
        <w:spacing w:after="120" w:before="120"/>
      </w:pPr>
    </w:p>
    <w:p>
      <w:pPr>
        <w:spacing w:after="80" w:before="80"/>
      </w:pPr>
      <w:r>
        <w:rPr>
          <w:rFonts w:ascii="Arial" w:cs="Arial" w:eastAsia="Arial" w:hAnsi="Arial"/>
          <w:sz w:val="22"/>
          <w:szCs w:val="22"/>
        </w:rPr>
        <w:t xml:space="preserve">DR designs that are never tested are not DR designs. The following drill cadence is recommended: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gridSpan w:val="1"/>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Drill Type</w:t>
            </w:r>
          </w:p>
        </w:tc>
        <w:tc>
          <w:tcPr>
            <w:tcW w:type="dxa" w:w="2500"/>
            <w:gridSpan w:val="1"/>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Frequency</w:t>
            </w:r>
          </w:p>
        </w:tc>
        <w:tc>
          <w:tcPr>
            <w:tcW w:type="dxa" w:w="4360"/>
            <w:gridSpan w:val="1"/>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Objective</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Tabletop exercise</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Monthly</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Walk through runbook steps verbally; identify gaps</w:t>
            </w:r>
          </w:p>
        </w:tc>
      </w:tr>
      <w:tr>
        <w:tc>
          <w:tcPr>
            <w:tcW w:type="dxa" w:w="25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sz w:val="20"/>
                <w:szCs w:val="20"/>
              </w:rPr>
              <w:t xml:space="preserve">DNS failover test</w:t>
            </w:r>
          </w:p>
        </w:tc>
        <w:tc>
          <w:tcPr>
            <w:tcW w:type="dxa" w:w="25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sz w:val="20"/>
                <w:szCs w:val="20"/>
              </w:rPr>
              <w:t xml:space="preserve">Quarterly</w:t>
            </w:r>
          </w:p>
        </w:tc>
        <w:tc>
          <w:tcPr>
            <w:tcW w:type="dxa" w:w="436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sz w:val="20"/>
                <w:szCs w:val="20"/>
              </w:rPr>
              <w:t xml:space="preserve">Switch Route 53 to Hyderabad in non-prod; verify traffic routing</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Full failover drill</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Semi-annually</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Execute all 6 runbook phases against a production-mirror environment; measure actual RTO and RPO</w:t>
            </w:r>
          </w:p>
        </w:tc>
      </w:tr>
      <w:tr>
        <w:tc>
          <w:tcPr>
            <w:tcW w:type="dxa" w:w="25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sz w:val="20"/>
                <w:szCs w:val="20"/>
              </w:rPr>
              <w:t xml:space="preserve">EFS promotion test</w:t>
            </w:r>
          </w:p>
        </w:tc>
        <w:tc>
          <w:tcPr>
            <w:tcW w:type="dxa" w:w="25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sz w:val="20"/>
                <w:szCs w:val="20"/>
              </w:rPr>
              <w:t xml:space="preserve">Annually</w:t>
            </w:r>
          </w:p>
        </w:tc>
        <w:tc>
          <w:tcPr>
            <w:tcW w:type="dxa" w:w="436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sz w:val="20"/>
                <w:szCs w:val="20"/>
              </w:rPr>
              <w:t xml:space="preserve">Promote Hyderabad EFS replica; verify mount and data integrity; re-establish replication</w:t>
            </w:r>
          </w:p>
        </w:tc>
      </w:tr>
    </w:tbl>
    <w:p>
      <w:pPr>
        <w:spacing w:after="80" w:before="80"/>
      </w:pPr>
      <w:r>
        <w:rPr>
          <w:rFonts w:ascii="Arial" w:cs="Arial" w:eastAsia="Arial" w:hAnsi="Arial"/>
          <w:sz w:val="22"/>
          <w:szCs w:val="22"/>
        </w:rPr>
        <w:t xml:space="preserve"/>
      </w:r>
    </w:p>
    <w:p>
      <w:pPr>
        <w:pBdr>
          <w:top w:val="single" w:color="2E74B5" w:sz="4" w:space="2"/>
        </w:pBdr>
        <w:spacing w:before="360"/>
      </w:pPr>
    </w:p>
    <w:p>
      <w:pPr>
        <w:jc w:val="center"/>
      </w:pPr>
      <w:r>
        <w:rPr>
          <w:rFonts w:ascii="Arial" w:cs="Arial" w:eastAsia="Arial" w:hAnsi="Arial"/>
          <w:i/>
          <w:iCs/>
          <w:color w:val="666666"/>
          <w:sz w:val="18"/>
          <w:szCs w:val="18"/>
        </w:rPr>
        <w:t xml:space="preserve">TaskFlow DR Design Document — Version 1.0 — Internal / Confidential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80"/>
      <w:outlineLvl w:val="1"/>
    </w:pPr>
    <w:rPr>
      <w:rFonts w:ascii="Arial" w:cs="Arial" w:eastAsia="Arial" w:hAnsi="Arial"/>
      <w:b/>
      <w:bCs/>
      <w:color w:val="2E74B5"/>
      <w:sz w:val="26"/>
      <w:szCs w:val="26"/>
    </w:rPr>
  </w:style>
  <w:style w:type="paragraph" w:styleId="Heading3">
    <w:name w:val="Heading 3"/>
    <w:basedOn w:val="Normal"/>
    <w:next w:val="Normal"/>
    <w:qFormat/>
    <w:pPr>
      <w:spacing w:after="60" w:before="200"/>
      <w:outlineLvl w:val="2"/>
    </w:pPr>
    <w:rPr>
      <w:rFonts w:ascii="Arial" w:cs="Arial" w:eastAsia="Arial" w:hAnsi="Arial"/>
      <w:b/>
      <w:bCs/>
      <w:color w:val="2E74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2026-04-10T13:42:18.937Z</dcterms:created>
  <dcterms:modified xsi:type="dcterms:W3CDTF">2026-04-10T13:42:18.937Z</dcterms:modified>
</cp:coreProperties>
</file>

<file path=docProps/custom.xml><?xml version="1.0" encoding="utf-8"?>
<Properties xmlns="http://schemas.openxmlformats.org/officeDocument/2006/custom-properties" xmlns:vt="http://schemas.openxmlformats.org/officeDocument/2006/docPropsVTypes"/>
</file>