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80"/>
          <w:szCs w:val="80"/>
        </w:rPr>
        <w:t xml:space="preserve">🧭</w:t>
      </w:r>
    </w:p>
    <w:p>
      <w:pPr>
        <w:spacing w:after="60"/>
        <w:jc w:val="center"/>
      </w:pPr>
      <w:r>
        <w:rPr>
          <w:b/>
          <w:bCs/>
          <w:color w:val="1F4E79"/>
          <w:sz w:val="48"/>
          <w:szCs w:val="48"/>
        </w:rPr>
        <w:t xml:space="preserve">Cómo usar el Skill de análisis de subvenciones</w:t>
      </w:r>
    </w:p>
    <w:p>
      <w:pPr>
        <w:spacing w:after="40"/>
        <w:jc w:val="center"/>
      </w:pPr>
      <w:r>
        <w:rPr>
          <w:color w:val="64748B"/>
          <w:sz w:val="26"/>
          <w:szCs w:val="26"/>
        </w:rPr>
        <w:t xml:space="preserve">Guía de uso para sacarle el máximo a la herramienta del TFM</w:t>
      </w:r>
    </w:p>
    <w:p>
      <w:pPr>
        <w:spacing w:after="240"/>
        <w:jc w:val="center"/>
      </w:pPr>
      <w:r>
        <w:rPr>
          <w:color w:val="888888"/>
          <w:sz w:val="20"/>
          <w:szCs w:val="20"/>
        </w:rPr>
        <w:t xml:space="preserve">≈ 6 minutos de lectura · Consejos prácticos, no técnicos · </w:t>
      </w:r>
      <w:r>
        <w:rPr>
          <w:rFonts w:ascii="Consolas" w:cs="Consolas" w:eastAsia="Consolas" w:hAnsi="Consolas"/>
          <w:color w:val="888888"/>
          <w:sz w:val="20"/>
          <w:szCs w:val="20"/>
        </w:rPr>
        <w:t xml:space="preserve">/analisis-documental-subvenciones</w:t>
      </w:r>
    </w:p>
    <w:p>
      <w:pPr>
        <w:spacing w:after="200"/>
      </w:pPr>
      <w:r>
        <w:t xml:space="preserve">Una vez instalado el Skill, lo difícil no es ejecutarlo: es usarlo bien. Esta guía recoge el método que recomiendo para obtener un análisis fiable de una convocatoria, y un par de hábitos que marcan la diferencia entre confiar en la herramienta y depender ciegamente de ella. La herramienta hace el trabajo pesado; la decisión sigue siendo tuya.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DCFCE7" w:sz="0"/>
              <w:left w:val="single" w:color="166534" w:sz="24"/>
              <w:bottom w:val="none" w:color="DCFCE7" w:sz="0"/>
              <w:right w:val="none" w:color="DCFCE7" w:sz="0"/>
            </w:tcBorders>
            <w:shd w:fill="DCFCE7" w:val="clear"/>
            <w:tcMar>
              <w:top w:type="dxa" w:w="200"/>
              <w:left w:type="dxa" w:w="260"/>
              <w:bottom w:type="dxa" w:w="200"/>
              <w:right w:type="dxa" w:w="260"/>
            </w:tcMar>
          </w:tcPr>
          <w:p>
            <w:pPr>
              <w:spacing w:after="120"/>
            </w:pPr>
            <w:r>
              <w:rPr>
                <w:b/>
                <w:bCs/>
                <w:color w:val="166534"/>
                <w:sz w:val="26"/>
                <w:szCs w:val="26"/>
              </w:rPr>
              <w:t xml:space="preserve">✓  El flujo recomendado, en 30 segundos</w:t>
            </w:r>
          </w:p>
          <w:p>
            <w:pPr>
              <w:spacing w:after="80"/>
            </w:pPr>
            <w:r>
              <w:rPr>
                <w:b/>
                <w:bCs/>
              </w:rPr>
              <w:t xml:space="preserve">1.  Da margen de tiempo</w:t>
            </w:r>
            <w:r>
              <w:t xml:space="preserve">  — no lo dejes para el último día; el modelo bueno tiene cupo limitado.</w:t>
            </w:r>
          </w:p>
          <w:p>
            <w:pPr>
              <w:spacing w:after="80"/>
            </w:pPr>
            <w:r>
              <w:rPr>
                <w:b/>
                <w:bCs/>
              </w:rPr>
              <w:t xml:space="preserve">2.  Primer cribado con Claude</w:t>
            </w:r>
            <w:r>
              <w:t xml:space="preserve">  usando el modelo más potente que tengas, en razonamiento alto.</w:t>
            </w:r>
          </w:p>
          <w:p>
            <w:pPr>
              <w:spacing w:after="80"/>
            </w:pPr>
            <w:r>
              <w:rPr>
                <w:b/>
                <w:bCs/>
              </w:rPr>
              <w:t xml:space="preserve">3.  Verifica o cruza con Gemini</w:t>
            </w:r>
            <w:r>
              <w:t xml:space="preserve">  (o con la fuente original) los datos clave: importes, plazos, requisitos.</w:t>
            </w:r>
          </w:p>
          <w:p>
            <w:pPr>
              <w:spacing w:after="0"/>
            </w:pPr>
            <w:r>
              <w:rPr>
                <w:b/>
                <w:bCs/>
              </w:rPr>
              <w:t xml:space="preserve">4.  Decisión humana (HITL)</w:t>
            </w:r>
            <w:r>
              <w:t xml:space="preserve">  — tú lees, contrastas y decides. La IA propone; no firma.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2"/>
              <w:left w:val="single" w:color="1F4E79" w:sz="12"/>
              <w:bottom w:val="single" w:color="1F4E79" w:sz="12"/>
              <w:right w:val="single" w:color="1F4E79" w:sz="12"/>
            </w:tcBorders>
            <w:shd w:fill="1F4E79" w:val="clear"/>
            <w:tcMar>
              <w:top w:type="dxa" w:w="160"/>
              <w:left w:type="dxa" w:w="160"/>
              <w:bottom w:type="dxa" w:w="160"/>
              <w:right w:type="dxa" w:w="160"/>
            </w:tcMar>
            <w:vAlign w:val="center"/>
          </w:tcPr>
          <w:p>
            <w:pPr>
              <w:jc w:val="center"/>
            </w:pPr>
            <w:r>
              <w:rPr>
                <w:b/>
                <w:bCs/>
                <w:color w:val="FFFFFF"/>
                <w:sz w:val="56"/>
                <w:szCs w:val="56"/>
              </w:rPr>
              <w:t xml:space="preserve">1</w:t>
            </w:r>
          </w:p>
        </w:tc>
        <w:tc>
          <w:tcPr>
            <w:tcW w:type="dxa" w:w="8160"/>
            <w:tcBorders>
              <w:top w:val="single" w:color="1F4E79" w:sz="12"/>
              <w:left w:val="none" w:color="FFFFFF" w:sz="0"/>
              <w:bottom w:val="single" w:color="1F4E79" w:sz="12"/>
              <w:right w:val="single" w:color="1F4E79" w:sz="12"/>
            </w:tcBorders>
            <w:shd w:fill="FFFFFF" w:val="clear"/>
            <w:tcMar>
              <w:top w:type="dxa" w:w="200"/>
              <w:left w:type="dxa" w:w="240"/>
              <w:bottom w:type="dxa" w:w="200"/>
              <w:right w:type="dxa" w:w="200"/>
            </w:tcMar>
          </w:tcPr>
          <w:p>
            <w:pPr>
              <w:spacing w:after="100"/>
            </w:pPr>
            <w:r>
              <w:rPr>
                <w:b/>
                <w:bCs/>
                <w:color w:val="1F4E79"/>
                <w:sz w:val="28"/>
                <w:szCs w:val="28"/>
              </w:rPr>
              <w:t xml:space="preserve">Dale tiempo: no lo dejes para el último día</w:t>
            </w:r>
          </w:p>
          <w:p>
            <w:pPr>
              <w:spacing w:after="120"/>
            </w:pPr>
            <w:r>
              <w:t xml:space="preserve">La calidad del análisis depende del modelo que uses, y el modelo más capaz consume muchos más recursos (tokens), por lo que tiene un límite de uso por franja horaria. Si lo dejas para la víspera de presentar y agotas el cupo, te quedas con el modelo flojo justo cuando más precisión necesitas.</w:t>
            </w:r>
          </w:p>
          <w:p>
            <w:pPr>
              <w:spacing w:after="0"/>
            </w:pPr>
            <w:r>
              <w:rPr>
                <w:b/>
                <w:bCs/>
              </w:rPr>
              <w:t xml:space="preserve">Regla práctica: </w:t>
            </w:r>
            <w:r>
              <w:t xml:space="preserve">trabaja la convocatoria con varios días de margen. Así puedes lanzar el análisis con el modelo bueno, esperar a que se reponga el cupo si hace falta, y repetir o afinar sin agobios.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2"/>
              <w:left w:val="single" w:color="1F4E79" w:sz="12"/>
              <w:bottom w:val="single" w:color="1F4E79" w:sz="12"/>
              <w:right w:val="single" w:color="1F4E79" w:sz="12"/>
            </w:tcBorders>
            <w:shd w:fill="1F4E79" w:val="clear"/>
            <w:tcMar>
              <w:top w:type="dxa" w:w="160"/>
              <w:left w:type="dxa" w:w="160"/>
              <w:bottom w:type="dxa" w:w="160"/>
              <w:right w:type="dxa" w:w="160"/>
            </w:tcMar>
            <w:vAlign w:val="center"/>
          </w:tcPr>
          <w:p>
            <w:pPr>
              <w:jc w:val="center"/>
            </w:pPr>
            <w:r>
              <w:rPr>
                <w:b/>
                <w:bCs/>
                <w:color w:val="FFFFFF"/>
                <w:sz w:val="56"/>
                <w:szCs w:val="56"/>
              </w:rPr>
              <w:t xml:space="preserve">2</w:t>
            </w:r>
          </w:p>
        </w:tc>
        <w:tc>
          <w:tcPr>
            <w:tcW w:type="dxa" w:w="8160"/>
            <w:tcBorders>
              <w:top w:val="single" w:color="1F4E79" w:sz="12"/>
              <w:left w:val="none" w:color="FFFFFF" w:sz="0"/>
              <w:bottom w:val="single" w:color="1F4E79" w:sz="12"/>
              <w:right w:val="single" w:color="1F4E79" w:sz="12"/>
            </w:tcBorders>
            <w:shd w:fill="FFFFFF" w:val="clear"/>
            <w:tcMar>
              <w:top w:type="dxa" w:w="200"/>
              <w:left w:type="dxa" w:w="240"/>
              <w:bottom w:type="dxa" w:w="200"/>
              <w:right w:type="dxa" w:w="200"/>
            </w:tcMar>
          </w:tcPr>
          <w:p>
            <w:pPr>
              <w:spacing w:after="100"/>
            </w:pPr>
            <w:r>
              <w:rPr>
                <w:b/>
                <w:bCs/>
                <w:color w:val="1F4E79"/>
                <w:sz w:val="28"/>
                <w:szCs w:val="28"/>
              </w:rPr>
              <w:t xml:space="preserve">Elige el modelo según la complejidad</w:t>
            </w:r>
          </w:p>
          <w:p>
            <w:pPr>
              <w:spacing w:after="120"/>
            </w:pPr>
            <w:r>
              <w:t xml:space="preserve">No todas las convocatorias necesitan el mismo músculo. Para un pliego corto y claro, un modelo rápido basta. Para bases reguladoras largas, con baremo, requisitos cruzados y justificación posterior, conviene el modelo más capaz en modo de razonamiento alto.</w:t>
            </w:r>
          </w:p>
          <w:p>
            <w:pPr>
              <w:spacing w:after="0"/>
            </w:pPr>
            <w:r>
              <w:rPr>
                <w:b/>
                <w:bCs/>
              </w:rPr>
              <w:t xml:space="preserve">Cuanto más alto el razonamiento, </w:t>
            </w:r>
            <w:r>
              <w:t xml:space="preserve">más despacio piensa y menos se inventa, pero más cupo consume. Reserva el modelo top para los documentos densos; usa el rápido para una primera ojeada.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2"/>
              <w:left w:val="single" w:color="1F4E79" w:sz="12"/>
              <w:bottom w:val="single" w:color="1F4E79" w:sz="12"/>
              <w:right w:val="single" w:color="1F4E79" w:sz="12"/>
            </w:tcBorders>
            <w:shd w:fill="1F4E79" w:val="clear"/>
            <w:tcMar>
              <w:top w:type="dxa" w:w="160"/>
              <w:left w:type="dxa" w:w="160"/>
              <w:bottom w:type="dxa" w:w="160"/>
              <w:right w:type="dxa" w:w="160"/>
            </w:tcMar>
            <w:vAlign w:val="center"/>
          </w:tcPr>
          <w:p>
            <w:pPr>
              <w:jc w:val="center"/>
            </w:pPr>
            <w:r>
              <w:rPr>
                <w:b/>
                <w:bCs/>
                <w:color w:val="FFFFFF"/>
                <w:sz w:val="56"/>
                <w:szCs w:val="56"/>
              </w:rPr>
              <w:t xml:space="preserve">3</w:t>
            </w:r>
          </w:p>
        </w:tc>
        <w:tc>
          <w:tcPr>
            <w:tcW w:type="dxa" w:w="8160"/>
            <w:tcBorders>
              <w:top w:val="single" w:color="1F4E79" w:sz="12"/>
              <w:left w:val="none" w:color="FFFFFF" w:sz="0"/>
              <w:bottom w:val="single" w:color="1F4E79" w:sz="12"/>
              <w:right w:val="single" w:color="1F4E79" w:sz="12"/>
            </w:tcBorders>
            <w:shd w:fill="FFFFFF" w:val="clear"/>
            <w:tcMar>
              <w:top w:type="dxa" w:w="200"/>
              <w:left w:type="dxa" w:w="240"/>
              <w:bottom w:type="dxa" w:w="200"/>
              <w:right w:type="dxa" w:w="200"/>
            </w:tcMar>
          </w:tcPr>
          <w:p>
            <w:pPr>
              <w:spacing w:after="100"/>
            </w:pPr>
            <w:r>
              <w:rPr>
                <w:b/>
                <w:bCs/>
                <w:color w:val="1F4E79"/>
                <w:sz w:val="28"/>
                <w:szCs w:val="28"/>
              </w:rPr>
              <w:t xml:space="preserve">Primer cribado con Claude</w:t>
            </w:r>
          </w:p>
          <w:p>
            <w:pPr>
              <w:spacing w:after="120"/>
            </w:pPr>
            <w:r>
              <w:t xml:space="preserve">Lanza el análisis Go/No-Go completo con el Skill. Adjunta el PDF de la convocatoria (y, si lo tienes, el perfil de tu organización) y pídele el dashboard completo. Esto te da en pocos minutos una foto estructurada: encaje con tu entidad, importes, plazos, requisitos, baremo estimado y checklist de documentación.</w:t>
            </w:r>
          </w:p>
          <w:p>
            <w:pPr>
              <w:spacing w:after="0"/>
            </w:pPr>
            <w:r>
              <w:rPr>
                <w:b/>
                <w:bCs/>
              </w:rPr>
              <w:t xml:space="preserve">Trátalo como un borrador inteligente, </w:t>
            </w:r>
            <w:r>
              <w:t xml:space="preserve">no como un veredicto. Es el cribado que te ahorra horas de lectura, no la decisión final.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2"/>
              <w:left w:val="single" w:color="1F4E79" w:sz="12"/>
              <w:bottom w:val="single" w:color="1F4E79" w:sz="12"/>
              <w:right w:val="single" w:color="1F4E79" w:sz="12"/>
            </w:tcBorders>
            <w:shd w:fill="1F4E79" w:val="clear"/>
            <w:tcMar>
              <w:top w:type="dxa" w:w="160"/>
              <w:left w:type="dxa" w:w="160"/>
              <w:bottom w:type="dxa" w:w="160"/>
              <w:right w:type="dxa" w:w="160"/>
            </w:tcMar>
            <w:vAlign w:val="center"/>
          </w:tcPr>
          <w:p>
            <w:pPr>
              <w:jc w:val="center"/>
            </w:pPr>
            <w:r>
              <w:rPr>
                <w:b/>
                <w:bCs/>
                <w:color w:val="FFFFFF"/>
                <w:sz w:val="56"/>
                <w:szCs w:val="56"/>
              </w:rPr>
              <w:t xml:space="preserve">4</w:t>
            </w:r>
          </w:p>
        </w:tc>
        <w:tc>
          <w:tcPr>
            <w:tcW w:type="dxa" w:w="8160"/>
            <w:tcBorders>
              <w:top w:val="single" w:color="1F4E79" w:sz="12"/>
              <w:left w:val="none" w:color="FFFFFF" w:sz="0"/>
              <w:bottom w:val="single" w:color="1F4E79" w:sz="12"/>
              <w:right w:val="single" w:color="1F4E79" w:sz="12"/>
            </w:tcBorders>
            <w:shd w:fill="FFFFFF" w:val="clear"/>
            <w:tcMar>
              <w:top w:type="dxa" w:w="200"/>
              <w:left w:type="dxa" w:w="240"/>
              <w:bottom w:type="dxa" w:w="200"/>
              <w:right w:type="dxa" w:w="200"/>
            </w:tcMar>
          </w:tcPr>
          <w:p>
            <w:pPr>
              <w:spacing w:after="100"/>
            </w:pPr>
            <w:r>
              <w:rPr>
                <w:b/>
                <w:bCs/>
                <w:color w:val="1F4E79"/>
                <w:sz w:val="28"/>
                <w:szCs w:val="28"/>
              </w:rPr>
              <w:t xml:space="preserve">Verifica o cruza con Gemini (o con la fuente)</w:t>
            </w:r>
          </w:p>
          <w:p>
            <w:pPr>
              <w:spacing w:after="120"/>
            </w:pPr>
            <w:r>
              <w:t xml:space="preserve">Antes de fiarte de una cifra, contrástala. Tienes dos vías: abrir el documento original y comprobar el dato en su página, o pasar la convocatoria por la versión Gemini (el GEM equivalente) y ver si coincide. Si los dos modelos dicen lo mismo y cuadra con el PDF, vas con buena base. Si discrepan, ahí tienes exactamente dónde mirar.</w:t>
            </w:r>
          </w:p>
          <w:p>
            <w:pPr>
              <w:spacing w:after="0"/>
            </w:pPr>
            <w:r>
              <w:rPr>
                <w:b/>
                <w:bCs/>
              </w:rPr>
              <w:t xml:space="preserve">Prioriza verificar lo que más duele equivocar: </w:t>
            </w:r>
            <w:r>
              <w:t xml:space="preserve">importe máximo, fecha límite, requisitos de admisión y obligaciones de justificación.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2"/>
              <w:left w:val="single" w:color="1F4E79" w:sz="12"/>
              <w:bottom w:val="single" w:color="1F4E79" w:sz="12"/>
              <w:right w:val="single" w:color="1F4E79" w:sz="12"/>
            </w:tcBorders>
            <w:shd w:fill="1F4E79" w:val="clear"/>
            <w:tcMar>
              <w:top w:type="dxa" w:w="160"/>
              <w:left w:type="dxa" w:w="160"/>
              <w:bottom w:type="dxa" w:w="160"/>
              <w:right w:type="dxa" w:w="160"/>
            </w:tcMar>
            <w:vAlign w:val="center"/>
          </w:tcPr>
          <w:p>
            <w:pPr>
              <w:jc w:val="center"/>
            </w:pPr>
            <w:r>
              <w:rPr>
                <w:b/>
                <w:bCs/>
                <w:color w:val="FFFFFF"/>
                <w:sz w:val="56"/>
                <w:szCs w:val="56"/>
              </w:rPr>
              <w:t xml:space="preserve">5</w:t>
            </w:r>
          </w:p>
        </w:tc>
        <w:tc>
          <w:tcPr>
            <w:tcW w:type="dxa" w:w="8160"/>
            <w:tcBorders>
              <w:top w:val="single" w:color="1F4E79" w:sz="12"/>
              <w:left w:val="none" w:color="FFFFFF" w:sz="0"/>
              <w:bottom w:val="single" w:color="1F4E79" w:sz="12"/>
              <w:right w:val="single" w:color="1F4E79" w:sz="12"/>
            </w:tcBorders>
            <w:shd w:fill="FFFFFF" w:val="clear"/>
            <w:tcMar>
              <w:top w:type="dxa" w:w="200"/>
              <w:left w:type="dxa" w:w="240"/>
              <w:bottom w:type="dxa" w:w="200"/>
              <w:right w:type="dxa" w:w="200"/>
            </w:tcMar>
          </w:tcPr>
          <w:p>
            <w:pPr>
              <w:spacing w:after="100"/>
            </w:pPr>
            <w:r>
              <w:rPr>
                <w:b/>
                <w:bCs/>
                <w:color w:val="1F4E79"/>
                <w:sz w:val="28"/>
                <w:szCs w:val="28"/>
              </w:rPr>
              <w:t xml:space="preserve">Decisión humana: el HITL</w:t>
            </w:r>
          </w:p>
          <w:p>
            <w:pPr>
              <w:spacing w:after="120"/>
            </w:pPr>
            <w:r>
              <w:t xml:space="preserve">Con el cribado hecho y los datos clave verificados, decides tú. Human-in-the-loop no es un trámite: es el punto donde tu criterio, tu conocimiento de la organización y el contexto que la IA no ve entran en juego. La herramienta te lleva al 80% en minutos; ese último 20% —y la firma— son humanos.</w:t>
            </w:r>
          </w:p>
          <w:p>
            <w:pPr>
              <w:spacing w:after="0"/>
            </w:pPr>
            <w:r>
              <w:rPr>
                <w:b/>
                <w:bCs/>
              </w:rPr>
              <w:t xml:space="preserve">Si la decisión es ajustada, </w:t>
            </w:r>
            <w:r>
              <w:t xml:space="preserve">vuelve a preguntar al Skill por los puntos débiles concretos antes de cerrar.</w:t>
            </w:r>
          </w:p>
        </w:tc>
      </w:tr>
    </w:tbl>
    <w:p>
      <w:pPr>
        <w:spacing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EF3C7" w:sz="0"/>
              <w:left w:val="single" w:color="92400E" w:sz="24"/>
              <w:bottom w:val="none" w:color="FEF3C7" w:sz="0"/>
              <w:right w:val="none" w:color="FEF3C7" w:sz="0"/>
            </w:tcBorders>
            <w:shd w:fill="FEF3C7" w:val="clear"/>
            <w:tcMar>
              <w:top w:type="dxa" w:w="200"/>
              <w:left w:type="dxa" w:w="260"/>
              <w:bottom w:type="dxa" w:w="200"/>
              <w:right w:type="dxa" w:w="260"/>
            </w:tcMar>
          </w:tcPr>
          <w:p>
            <w:pPr>
              <w:spacing w:after="120"/>
            </w:pPr>
            <w:r>
              <w:rPr>
                <w:b/>
                <w:bCs/>
                <w:color w:val="92400E"/>
                <w:sz w:val="26"/>
                <w:szCs w:val="26"/>
              </w:rPr>
              <w:t xml:space="preserve">⏱  A fecha de hoy (junio de 2026) — esto caduca rápido</w:t>
            </w:r>
          </w:p>
          <w:p>
            <w:pPr>
              <w:spacing w:after="120"/>
            </w:pPr>
            <w:r>
              <w:t xml:space="preserve">Los nombres de modelos y planes cambian casi semana a semana. Lo de arriba (el método) es atemporal; lo de aquí abajo conviene revisarlo cada vez que lo uses dentro de unos meses:</w:t>
            </w:r>
          </w:p>
          <w:p>
            <w:pPr>
              <w:spacing w:after="80"/>
            </w:pPr>
            <w:r>
              <w:rPr>
                <w:b/>
                <w:bCs/>
              </w:rPr>
              <w:t xml:space="preserve">•  Modelo recomendado: </w:t>
            </w:r>
            <w:r>
              <w:t xml:space="preserve">Claude </w:t>
            </w:r>
            <w:r>
              <w:rPr>
                <w:b/>
                <w:bCs/>
              </w:rPr>
              <w:t xml:space="preserve">Opus 4.8</w:t>
            </w:r>
            <w:r>
              <w:t xml:space="preserve"> en razonamiento alto para convocatorias complejas; </w:t>
            </w:r>
            <w:r>
              <w:rPr>
                <w:b/>
                <w:bCs/>
              </w:rPr>
              <w:t xml:space="preserve">Sonnet 4.6</w:t>
            </w:r>
            <w:r>
              <w:t xml:space="preserve"> en alto para las más sencillas.</w:t>
            </w:r>
          </w:p>
          <w:p>
            <w:pPr>
              <w:spacing w:after="80"/>
            </w:pPr>
            <w:r>
              <w:rPr>
                <w:b/>
                <w:bCs/>
              </w:rPr>
              <w:t xml:space="preserve">•  Plan: </w:t>
            </w:r>
            <w:r>
              <w:t xml:space="preserve">hoy, usar Opus requiere plan Pro de pago. El plan gratuito te limita a modelos menores.</w:t>
            </w:r>
          </w:p>
          <w:p>
            <w:pPr>
              <w:spacing w:after="80"/>
            </w:pPr>
            <w:r>
              <w:rPr>
                <w:b/>
                <w:bCs/>
              </w:rPr>
              <w:t xml:space="preserve">•  Gemini: </w:t>
            </w:r>
            <w:r>
              <w:t xml:space="preserve">resultados algo menos estables, pero mejor rendimiento por token. Útil para el segundo cribado o la verificación cruzada.</w:t>
            </w:r>
          </w:p>
          <w:p>
            <w:pPr>
              <w:spacing w:after="0"/>
            </w:pPr>
            <w:r>
              <w:rPr>
                <w:b/>
                <w:bCs/>
              </w:rPr>
              <w:t xml:space="preserve">•  Si lees esto dentro de un año, </w:t>
            </w:r>
            <w:r>
              <w:t xml:space="preserve">seguramente estos modelos estén descontinuados y haya otros. Quédate con la idea, no con los nombres: el modelo más capaz disponible, en su razonamiento más alto, y verificar siempre.</w:t>
            </w:r>
          </w:p>
        </w:tc>
      </w:tr>
    </w:tbl>
    <w:p>
      <w:pPr>
        <w:spacing w:after="240"/>
      </w:pPr>
      <w:r>
        <w:t xml:space="preserve"/>
      </w:r>
    </w:p>
    <w:p>
      <w:pPr>
        <w:pStyle w:val="Heading2"/>
      </w:pPr>
      <w:r>
        <w:t xml:space="preserve">Claude frente a Gemini, hoy</w:t>
      </w:r>
    </w:p>
    <w:p>
      <w:pPr>
        <w:spacing w:after="160"/>
      </w:pPr>
      <w:r>
        <w:t xml:space="preserve">Una comparación rápida para decidir con qué empezar. Cambiará con cada versión nueva, así que tómala como orientación, no como ley.</w:t>
      </w:r>
    </w:p>
    <w:tbl>
      <w:tblPr>
        <w:tblW w:type="dxa" w:w="9360"/>
        <w:tblBorders>
          <w:top w:val="single" w:color="D6DEE8" w:sz="4"/>
          <w:left w:val="single" w:color="D6DEE8" w:sz="4"/>
          <w:bottom w:val="single" w:color="D6DEE8" w:sz="4"/>
          <w:right w:val="single" w:color="D6DEE8" w:sz="4"/>
          <w:insideH w:val="single" w:color="auto" w:sz="4"/>
          <w:insideV w:val="single" w:color="auto" w:sz="4"/>
        </w:tblBorders>
      </w:tblPr>
      <w:tblGrid>
        <w:gridCol w:w="3120"/>
        <w:gridCol w:w="3120"/>
        <w:gridCol w:w="3120"/>
      </w:tblGrid>
      <w:tr>
        <w:trPr>
          <w:tblHeader/>
        </w:trPr>
        <w:tc>
          <w:tcPr>
            <w:tcW w:type="dxa" w:w="3120"/>
            <w:shd w:fill="1F4E79" w:val="clear"/>
            <w:tcMar>
              <w:top w:type="dxa" w:w="100"/>
              <w:left w:type="dxa" w:w="140"/>
              <w:bottom w:type="dxa" w:w="100"/>
              <w:right w:type="dxa" w:w="140"/>
            </w:tcMar>
          </w:tcPr>
          <w:p>
            <w:r>
              <w:rPr>
                <w:b/>
                <w:bCs/>
                <w:color w:val="FFFFFF"/>
                <w:sz w:val="22"/>
                <w:szCs w:val="22"/>
              </w:rPr>
              <w:t xml:space="preserve">Criterio</w:t>
            </w:r>
          </w:p>
        </w:tc>
        <w:tc>
          <w:tcPr>
            <w:tcW w:type="dxa" w:w="3120"/>
            <w:shd w:fill="1F4E79" w:val="clear"/>
            <w:tcMar>
              <w:top w:type="dxa" w:w="100"/>
              <w:left w:type="dxa" w:w="140"/>
              <w:bottom w:type="dxa" w:w="100"/>
              <w:right w:type="dxa" w:w="140"/>
            </w:tcMar>
          </w:tcPr>
          <w:p>
            <w:r>
              <w:rPr>
                <w:b/>
                <w:bCs/>
                <w:color w:val="FFFFFF"/>
                <w:sz w:val="22"/>
                <w:szCs w:val="22"/>
              </w:rPr>
              <w:t xml:space="preserve">Claude (Skill)</w:t>
            </w:r>
          </w:p>
        </w:tc>
        <w:tc>
          <w:tcPr>
            <w:tcW w:type="dxa" w:w="3120"/>
            <w:shd w:fill="1F4E79" w:val="clear"/>
            <w:tcMar>
              <w:top w:type="dxa" w:w="100"/>
              <w:left w:type="dxa" w:w="140"/>
              <w:bottom w:type="dxa" w:w="100"/>
              <w:right w:type="dxa" w:w="140"/>
            </w:tcMar>
          </w:tcPr>
          <w:p>
            <w:r>
              <w:rPr>
                <w:b/>
                <w:bCs/>
                <w:color w:val="FFFFFF"/>
                <w:sz w:val="22"/>
                <w:szCs w:val="22"/>
              </w:rPr>
              <w:t xml:space="preserve">Gemini (GEM)</w:t>
            </w:r>
          </w:p>
        </w:tc>
      </w:tr>
      <w:tr>
        <w:tc>
          <w:tcPr>
            <w:tcW w:type="dxa" w:w="3120"/>
            <w:shd w:fill="F1F5F9" w:val="clear"/>
            <w:tcMar>
              <w:top w:type="dxa" w:w="100"/>
              <w:left w:type="dxa" w:w="140"/>
              <w:bottom w:type="dxa" w:w="100"/>
              <w:right w:type="dxa" w:w="140"/>
            </w:tcMar>
          </w:tcPr>
          <w:p>
            <w:r>
              <w:rPr>
                <w:b/>
                <w:bCs/>
                <w:color w:val="1F4E79"/>
                <w:sz w:val="22"/>
                <w:szCs w:val="22"/>
              </w:rPr>
              <w:t xml:space="preserve">Calidad del análisis</w:t>
            </w:r>
          </w:p>
        </w:tc>
        <w:tc>
          <w:tcPr>
            <w:tcW w:type="dxa" w:w="3120"/>
            <w:shd w:fill="F1F5F9" w:val="clear"/>
            <w:tcMar>
              <w:top w:type="dxa" w:w="100"/>
              <w:left w:type="dxa" w:w="140"/>
              <w:bottom w:type="dxa" w:w="100"/>
              <w:right w:type="dxa" w:w="140"/>
            </w:tcMar>
          </w:tcPr>
          <w:p>
            <w:r>
              <w:rPr>
                <w:b w:val="false"/>
                <w:bCs w:val="false"/>
                <w:color w:val="1A1A1A"/>
                <w:sz w:val="22"/>
                <w:szCs w:val="22"/>
              </w:rPr>
              <w:t xml:space="preserve">Más alta y estable</w:t>
            </w:r>
          </w:p>
        </w:tc>
        <w:tc>
          <w:tcPr>
            <w:tcW w:type="dxa" w:w="3120"/>
            <w:shd w:fill="F1F5F9" w:val="clear"/>
            <w:tcMar>
              <w:top w:type="dxa" w:w="100"/>
              <w:left w:type="dxa" w:w="140"/>
              <w:bottom w:type="dxa" w:w="100"/>
              <w:right w:type="dxa" w:w="140"/>
            </w:tcMar>
          </w:tcPr>
          <w:p>
            <w:r>
              <w:rPr>
                <w:b w:val="false"/>
                <w:bCs w:val="false"/>
                <w:color w:val="1A1A1A"/>
                <w:sz w:val="22"/>
                <w:szCs w:val="22"/>
              </w:rPr>
              <w:t xml:space="preserve">Buena, algo menos estable</w:t>
            </w:r>
          </w:p>
        </w:tc>
      </w:tr>
      <w:tr>
        <w:tc>
          <w:tcPr>
            <w:tcW w:type="dxa" w:w="3120"/>
            <w:shd w:fill="FFFFFF" w:val="clear"/>
            <w:tcMar>
              <w:top w:type="dxa" w:w="100"/>
              <w:left w:type="dxa" w:w="140"/>
              <w:bottom w:type="dxa" w:w="100"/>
              <w:right w:type="dxa" w:w="140"/>
            </w:tcMar>
          </w:tcPr>
          <w:p>
            <w:r>
              <w:rPr>
                <w:b/>
                <w:bCs/>
                <w:color w:val="1F4E79"/>
                <w:sz w:val="22"/>
                <w:szCs w:val="22"/>
              </w:rPr>
              <w:t xml:space="preserve">Consumo de recursos</w:t>
            </w:r>
          </w:p>
        </w:tc>
        <w:tc>
          <w:tcPr>
            <w:tcW w:type="dxa" w:w="3120"/>
            <w:shd w:fill="FFFFFF" w:val="clear"/>
            <w:tcMar>
              <w:top w:type="dxa" w:w="100"/>
              <w:left w:type="dxa" w:w="140"/>
              <w:bottom w:type="dxa" w:w="100"/>
              <w:right w:type="dxa" w:w="140"/>
            </w:tcMar>
          </w:tcPr>
          <w:p>
            <w:r>
              <w:rPr>
                <w:b w:val="false"/>
                <w:bCs w:val="false"/>
                <w:color w:val="1A1A1A"/>
                <w:sz w:val="22"/>
                <w:szCs w:val="22"/>
              </w:rPr>
              <w:t xml:space="preserve">Alto (cupo limitado)</w:t>
            </w:r>
          </w:p>
        </w:tc>
        <w:tc>
          <w:tcPr>
            <w:tcW w:type="dxa" w:w="3120"/>
            <w:shd w:fill="FFFFFF" w:val="clear"/>
            <w:tcMar>
              <w:top w:type="dxa" w:w="100"/>
              <w:left w:type="dxa" w:w="140"/>
              <w:bottom w:type="dxa" w:w="100"/>
              <w:right w:type="dxa" w:w="140"/>
            </w:tcMar>
          </w:tcPr>
          <w:p>
            <w:r>
              <w:rPr>
                <w:b w:val="false"/>
                <w:bCs w:val="false"/>
                <w:color w:val="1A1A1A"/>
                <w:sz w:val="22"/>
                <w:szCs w:val="22"/>
              </w:rPr>
              <w:t xml:space="preserve">Más eficiente por token</w:t>
            </w:r>
          </w:p>
        </w:tc>
      </w:tr>
      <w:tr>
        <w:tc>
          <w:tcPr>
            <w:tcW w:type="dxa" w:w="3120"/>
            <w:shd w:fill="F1F5F9" w:val="clear"/>
            <w:tcMar>
              <w:top w:type="dxa" w:w="100"/>
              <w:left w:type="dxa" w:w="140"/>
              <w:bottom w:type="dxa" w:w="100"/>
              <w:right w:type="dxa" w:w="140"/>
            </w:tcMar>
          </w:tcPr>
          <w:p>
            <w:r>
              <w:rPr>
                <w:b/>
                <w:bCs/>
                <w:color w:val="1F4E79"/>
                <w:sz w:val="22"/>
                <w:szCs w:val="22"/>
              </w:rPr>
              <w:t xml:space="preserve">Mejor papel</w:t>
            </w:r>
          </w:p>
        </w:tc>
        <w:tc>
          <w:tcPr>
            <w:tcW w:type="dxa" w:w="3120"/>
            <w:shd w:fill="F1F5F9" w:val="clear"/>
            <w:tcMar>
              <w:top w:type="dxa" w:w="100"/>
              <w:left w:type="dxa" w:w="140"/>
              <w:bottom w:type="dxa" w:w="100"/>
              <w:right w:type="dxa" w:w="140"/>
            </w:tcMar>
          </w:tcPr>
          <w:p>
            <w:r>
              <w:rPr>
                <w:b w:val="false"/>
                <w:bCs w:val="false"/>
                <w:color w:val="1A1A1A"/>
                <w:sz w:val="22"/>
                <w:szCs w:val="22"/>
              </w:rPr>
              <w:t xml:space="preserve">Cribado principal</w:t>
            </w:r>
          </w:p>
        </w:tc>
        <w:tc>
          <w:tcPr>
            <w:tcW w:type="dxa" w:w="3120"/>
            <w:shd w:fill="F1F5F9" w:val="clear"/>
            <w:tcMar>
              <w:top w:type="dxa" w:w="100"/>
              <w:left w:type="dxa" w:w="140"/>
              <w:bottom w:type="dxa" w:w="100"/>
              <w:right w:type="dxa" w:w="140"/>
            </w:tcMar>
          </w:tcPr>
          <w:p>
            <w:r>
              <w:rPr>
                <w:b w:val="false"/>
                <w:bCs w:val="false"/>
                <w:color w:val="1A1A1A"/>
                <w:sz w:val="22"/>
                <w:szCs w:val="22"/>
              </w:rPr>
              <w:t xml:space="preserve">Verificación / 2º cribado</w:t>
            </w:r>
          </w:p>
        </w:tc>
      </w:tr>
      <w:tr>
        <w:tc>
          <w:tcPr>
            <w:tcW w:type="dxa" w:w="3120"/>
            <w:shd w:fill="FFFFFF" w:val="clear"/>
            <w:tcMar>
              <w:top w:type="dxa" w:w="100"/>
              <w:left w:type="dxa" w:w="140"/>
              <w:bottom w:type="dxa" w:w="100"/>
              <w:right w:type="dxa" w:w="140"/>
            </w:tcMar>
          </w:tcPr>
          <w:p>
            <w:r>
              <w:rPr>
                <w:b/>
                <w:bCs/>
                <w:color w:val="1F4E79"/>
                <w:sz w:val="22"/>
                <w:szCs w:val="22"/>
              </w:rPr>
              <w:t xml:space="preserve">Coste hoy</w:t>
            </w:r>
          </w:p>
        </w:tc>
        <w:tc>
          <w:tcPr>
            <w:tcW w:type="dxa" w:w="3120"/>
            <w:shd w:fill="FFFFFF" w:val="clear"/>
            <w:tcMar>
              <w:top w:type="dxa" w:w="100"/>
              <w:left w:type="dxa" w:w="140"/>
              <w:bottom w:type="dxa" w:w="100"/>
              <w:right w:type="dxa" w:w="140"/>
            </w:tcMar>
          </w:tcPr>
          <w:p>
            <w:r>
              <w:rPr>
                <w:b w:val="false"/>
                <w:bCs w:val="false"/>
                <w:color w:val="1A1A1A"/>
                <w:sz w:val="22"/>
                <w:szCs w:val="22"/>
              </w:rPr>
              <w:t xml:space="preserve">Modelo top requiere Pro</w:t>
            </w:r>
          </w:p>
        </w:tc>
        <w:tc>
          <w:tcPr>
            <w:tcW w:type="dxa" w:w="3120"/>
            <w:shd w:fill="FFFFFF" w:val="clear"/>
            <w:tcMar>
              <w:top w:type="dxa" w:w="100"/>
              <w:left w:type="dxa" w:w="140"/>
              <w:bottom w:type="dxa" w:w="100"/>
              <w:right w:type="dxa" w:w="140"/>
            </w:tcMar>
          </w:tcPr>
          <w:p>
            <w:r>
              <w:rPr>
                <w:b w:val="false"/>
                <w:bCs w:val="false"/>
                <w:color w:val="1A1A1A"/>
                <w:sz w:val="22"/>
                <w:szCs w:val="22"/>
              </w:rPr>
              <w:t xml:space="preserve">Más holgado en uso</w:t>
            </w:r>
          </w:p>
        </w:tc>
      </w:tr>
    </w:tbl>
    <w:p>
      <w:pPr>
        <w:spacing w:after="240"/>
      </w:pPr>
      <w:r>
        <w:t xml:space="preserve"/>
      </w:r>
    </w:p>
    <w:p>
      <w:pPr>
        <w:pStyle w:val="Heading1"/>
      </w:pPr>
      <w:r>
        <w:t xml:space="preserve">El error más común: dejar de verificar</w:t>
      </w:r>
    </w:p>
    <w:p>
      <w:pPr>
        <w:spacing w:after="120"/>
      </w:pPr>
      <w:r>
        <w:t xml:space="preserve">Hay un patrón que se repite con cualquier herramienta buena. Al principio la verificas a fondo, no te fías. Después de unos cuantos análisis acertados, empiezas a confiar. Y un día dejas de comprobar las cifras… justo en la convocatoria en la que el modelo se equivocó.</w:t>
      </w:r>
    </w:p>
    <w:p>
      <w:pPr>
        <w:spacing w:after="120"/>
      </w:pPr>
      <w:r>
        <w:t xml:space="preserve">Esto tiene nombre —sesgo de automatización— y es la trampa silenciosa del HITL. Cuanto mejor funciona la IA, más fácil es bajar la guardia. El antídoto no es desconfiar de todo, sino mantener un mínimo innegociable de verificación, pase lo que pase.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1F5F9" w:sz="0"/>
              <w:left w:val="single" w:color="1F4E79" w:sz="24"/>
              <w:bottom w:val="none" w:color="F1F5F9" w:sz="0"/>
              <w:right w:val="none" w:color="F1F5F9" w:sz="0"/>
            </w:tcBorders>
            <w:shd w:fill="F1F5F9" w:val="clear"/>
            <w:tcMar>
              <w:top w:type="dxa" w:w="200"/>
              <w:left w:type="dxa" w:w="260"/>
              <w:bottom w:type="dxa" w:w="200"/>
              <w:right w:type="dxa" w:w="260"/>
            </w:tcMar>
          </w:tcPr>
          <w:p>
            <w:pPr>
              <w:spacing w:after="100"/>
            </w:pPr>
            <w:r>
              <w:rPr>
                <w:b/>
                <w:bCs/>
                <w:color w:val="1F4E79"/>
                <w:sz w:val="24"/>
                <w:szCs w:val="24"/>
              </w:rPr>
              <w:t xml:space="preserve">Tu mínimo innegociable, siempre:</w:t>
            </w:r>
          </w:p>
          <w:p>
            <w:pPr>
              <w:spacing w:after="70"/>
            </w:pPr>
            <w:r>
              <w:t xml:space="preserve">☐  Importe máximo y porcentaje de financiación</w:t>
            </w:r>
          </w:p>
          <w:p>
            <w:pPr>
              <w:spacing w:after="70"/>
            </w:pPr>
            <w:r>
              <w:t xml:space="preserve">☐  Fecha y hora límite de presentación</w:t>
            </w:r>
          </w:p>
          <w:p>
            <w:pPr>
              <w:spacing w:after="70"/>
            </w:pPr>
            <w:r>
              <w:t xml:space="preserve">☐  Requisitos de admisión de tu entidad (¿encajas de verdad?)</w:t>
            </w:r>
          </w:p>
          <w:p>
            <w:pPr>
              <w:spacing w:after="0"/>
            </w:pPr>
            <w:r>
              <w:t xml:space="preserve">☐  Obligaciones de justificación posterior</w:t>
            </w:r>
          </w:p>
        </w:tc>
      </w:tr>
    </w:tbl>
    <w:p>
      <w:pPr>
        <w:spacing w:after="120"/>
      </w:pPr>
      <w:r>
        <w:t xml:space="preserve"/>
      </w:r>
    </w:p>
    <w:p>
      <w:pPr>
        <w:spacing w:after="240"/>
      </w:pPr>
      <w:r>
        <w:t xml:space="preserve">Cada uno de esos cuatro datos, contrastado contra el documento original. Son cinco minutos que te ahorran presentar a algo que no tocaba —o quedarte fuera por un detalle que el modelo pasó por alto.</w:t>
      </w:r>
    </w:p>
    <w:p>
      <w:pPr>
        <w:pStyle w:val="Heading2"/>
      </w:pPr>
      <w:r>
        <w:t xml:space="preserve">Qué le puedes pedir (ejemplos)</w:t>
      </w:r>
    </w:p>
    <w:p>
      <w:pPr>
        <w:spacing w:after="140"/>
      </w:pPr>
      <w:r>
        <w:t xml:space="preserve">Más allá del análisis completo, el Skill responde bien a peticiones concretas. Algunas que ayudan en el día a día: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DBEAFE" w:sz="0"/>
              <w:left w:val="single" w:color="1F4E79" w:sz="24"/>
              <w:bottom w:val="none" w:color="DBEAFE" w:sz="0"/>
              <w:right w:val="none" w:color="DBEAFE" w:sz="0"/>
            </w:tcBorders>
            <w:shd w:fill="DBEAFE" w:val="clear"/>
            <w:tcMar>
              <w:top w:type="dxa" w:w="200"/>
              <w:left w:type="dxa" w:w="260"/>
              <w:bottom w:type="dxa" w:w="200"/>
              <w:right w:type="dxa" w:w="260"/>
            </w:tcMar>
          </w:tcPr>
          <w:p>
            <w:pPr>
              <w:spacing w:after="0"/>
            </w:pPr>
            <w:r>
              <w:rPr>
                <w:i/>
                <w:iCs/>
                <w:color w:val="1F4E79"/>
                <w:sz w:val="24"/>
                <w:szCs w:val="24"/>
              </w:rPr>
              <w:t xml:space="preserve">“Hazme el análisis Go/No-Go completo para mi organización.”</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DBEAFE" w:sz="0"/>
              <w:left w:val="single" w:color="1F4E79" w:sz="24"/>
              <w:bottom w:val="none" w:color="DBEAFE" w:sz="0"/>
              <w:right w:val="none" w:color="DBEAFE" w:sz="0"/>
            </w:tcBorders>
            <w:shd w:fill="DBEAFE" w:val="clear"/>
            <w:tcMar>
              <w:top w:type="dxa" w:w="200"/>
              <w:left w:type="dxa" w:w="260"/>
              <w:bottom w:type="dxa" w:w="200"/>
              <w:right w:type="dxa" w:w="260"/>
            </w:tcMar>
          </w:tcPr>
          <w:p>
            <w:pPr>
              <w:spacing w:after="0"/>
            </w:pPr>
            <w:r>
              <w:rPr>
                <w:i/>
                <w:iCs/>
                <w:color w:val="1F4E79"/>
                <w:sz w:val="24"/>
                <w:szCs w:val="24"/>
              </w:rPr>
              <w:t xml:space="preserve">“Resume solo los requisitos de admisión y dime si los cumplimos.”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DBEAFE" w:sz="0"/>
              <w:left w:val="single" w:color="1F4E79" w:sz="24"/>
              <w:bottom w:val="none" w:color="DBEAFE" w:sz="0"/>
              <w:right w:val="none" w:color="DBEAFE" w:sz="0"/>
            </w:tcBorders>
            <w:shd w:fill="DBEAFE" w:val="clear"/>
            <w:tcMar>
              <w:top w:type="dxa" w:w="200"/>
              <w:left w:type="dxa" w:w="260"/>
              <w:bottom w:type="dxa" w:w="200"/>
              <w:right w:type="dxa" w:w="260"/>
            </w:tcMar>
          </w:tcPr>
          <w:p>
            <w:pPr>
              <w:spacing w:after="0"/>
            </w:pPr>
            <w:r>
              <w:rPr>
                <w:i/>
                <w:iCs/>
                <w:color w:val="1F4E79"/>
                <w:sz w:val="24"/>
                <w:szCs w:val="24"/>
              </w:rPr>
              <w:t xml:space="preserve">“¿Qué documentación tengo que preparar y cuál depende de terceros?”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DBEAFE" w:sz="0"/>
              <w:left w:val="single" w:color="1F4E79" w:sz="24"/>
              <w:bottom w:val="none" w:color="DBEAFE" w:sz="0"/>
              <w:right w:val="none" w:color="DBEAFE" w:sz="0"/>
            </w:tcBorders>
            <w:shd w:fill="DBEAFE" w:val="clear"/>
            <w:tcMar>
              <w:top w:type="dxa" w:w="200"/>
              <w:left w:type="dxa" w:w="260"/>
              <w:bottom w:type="dxa" w:w="200"/>
              <w:right w:type="dxa" w:w="260"/>
            </w:tcMar>
          </w:tcPr>
          <w:p>
            <w:pPr>
              <w:spacing w:after="0"/>
            </w:pPr>
            <w:r>
              <w:rPr>
                <w:i/>
                <w:iCs/>
                <w:color w:val="1F4E79"/>
                <w:sz w:val="24"/>
                <w:szCs w:val="24"/>
              </w:rPr>
              <w:t xml:space="preserve">“Dame los tres argumentos más fuertes a favor y los tres en contra de presentarnos.”</w:t>
            </w:r>
          </w:p>
        </w:tc>
      </w:tr>
    </w:tbl>
    <w:p>
      <w:pPr>
        <w:spacing w:after="240"/>
      </w:pPr>
      <w:r>
        <w:t xml:space="preserve"/>
      </w:r>
    </w:p>
    <w:p>
      <w:pPr>
        <w:pStyle w:val="Heading2"/>
      </w:pPr>
      <w:r>
        <w:t xml:space="preserve">✓ Checklist de cada análisis</w:t>
      </w:r>
    </w:p>
    <w:p>
      <w:pPr>
        <w:spacing w:after="120"/>
      </w:pPr>
      <w:r>
        <w:t xml:space="preserve">Marca cada punto a medida que avanzas con una convocatoria:</w:t>
      </w:r>
    </w:p>
    <w:p>
      <w:pPr>
        <w:spacing w:after="90"/>
      </w:pPr>
      <w:r>
        <w:rPr>
          <w:sz w:val="24"/>
          <w:szCs w:val="24"/>
        </w:rPr>
        <w:t xml:space="preserve">☐  Empecé con margen de tiempo (no la víspera)</w:t>
      </w:r>
    </w:p>
    <w:p>
      <w:pPr>
        <w:spacing w:after="90"/>
      </w:pPr>
      <w:r>
        <w:rPr>
          <w:sz w:val="24"/>
          <w:szCs w:val="24"/>
        </w:rPr>
        <w:t xml:space="preserve">☐  Usé el modelo más capaz disponible, en razonamiento alto</w:t>
      </w:r>
    </w:p>
    <w:p>
      <w:pPr>
        <w:spacing w:after="90"/>
      </w:pPr>
      <w:r>
        <w:rPr>
          <w:sz w:val="24"/>
          <w:szCs w:val="24"/>
        </w:rPr>
        <w:t xml:space="preserve">☐  Lancé el cribado completo con el Skill</w:t>
      </w:r>
    </w:p>
    <w:p>
      <w:pPr>
        <w:spacing w:after="90"/>
      </w:pPr>
      <w:r>
        <w:rPr>
          <w:sz w:val="24"/>
          <w:szCs w:val="24"/>
        </w:rPr>
        <w:t xml:space="preserve">☐  Verifiqué importe, plazo, requisitos y justificación contra el original</w:t>
      </w:r>
    </w:p>
    <w:p>
      <w:pPr>
        <w:spacing w:after="90"/>
      </w:pPr>
      <w:r>
        <w:rPr>
          <w:sz w:val="24"/>
          <w:szCs w:val="24"/>
        </w:rPr>
        <w:t xml:space="preserve">☐  Crucé los datos dudosos con Gemini o con el PDF</w:t>
      </w:r>
    </w:p>
    <w:p>
      <w:pPr>
        <w:spacing w:after="90"/>
      </w:pPr>
      <w:r>
        <w:rPr>
          <w:sz w:val="24"/>
          <w:szCs w:val="24"/>
        </w:rPr>
        <w:t xml:space="preserve">☐  Tomé yo la decisión final (HITL), no la IA</w:t>
      </w:r>
    </w:p>
    <w:p>
      <w:pPr>
        <w:spacing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EF3C7" w:sz="0"/>
              <w:left w:val="single" w:color="92400E" w:sz="24"/>
              <w:bottom w:val="none" w:color="FEF3C7" w:sz="0"/>
              <w:right w:val="none" w:color="FEF3C7" w:sz="0"/>
            </w:tcBorders>
            <w:shd w:fill="FEF3C7" w:val="clear"/>
            <w:tcMar>
              <w:top w:type="dxa" w:w="200"/>
              <w:left w:type="dxa" w:w="260"/>
              <w:bottom w:type="dxa" w:w="200"/>
              <w:right w:type="dxa" w:w="260"/>
            </w:tcMar>
          </w:tcPr>
          <w:p>
            <w:pPr>
              <w:spacing w:after="100"/>
            </w:pPr>
            <w:r>
              <w:rPr>
                <w:b/>
                <w:bCs/>
                <w:color w:val="92400E"/>
                <w:sz w:val="24"/>
                <w:szCs w:val="24"/>
              </w:rPr>
              <w:t xml:space="preserve">💡  Una última cosa</w:t>
            </w:r>
          </w:p>
          <w:p>
            <w:pPr>
              <w:spacing w:after="0"/>
            </w:pPr>
            <w:r>
              <w:t xml:space="preserve">Si en algún análisis la herramienta te falla, acierta de forma sorprendente, o te genera dudas, anótalo. Ese feedback —lo que funciona y lo que no— es justo lo que esta investigación quiere medir.</w:t>
            </w:r>
          </w:p>
        </w:tc>
      </w:tr>
    </w:tbl>
    <w:p>
      <w:pPr>
        <w:spacing w:after="160"/>
      </w:pPr>
      <w:r>
        <w:t xml:space="preserve"/>
      </w:r>
    </w:p>
    <w:p>
      <w:pPr>
        <w:spacing w:after="60"/>
      </w:pPr>
      <w:r>
        <w:t xml:space="preserve">¡Gracias por usar la herramienta con cabeza! Tu criterio es el que la hace útil.</w:t>
      </w:r>
    </w:p>
    <w:p>
      <w:pPr>
        <w:spacing w:after="20"/>
      </w:pPr>
      <w:r>
        <w:rPr>
          <w:b/>
          <w:bCs/>
          <w:color w:val="1F4E79"/>
          <w:sz w:val="24"/>
          <w:szCs w:val="24"/>
        </w:rPr>
        <w:t xml:space="preserve">— Jesús</w:t>
      </w:r>
    </w:p>
    <w:p>
      <w:hyperlink w:history="1" r:id="rIdlsbfjmospjwnivn3ltebs">
        <w:r>
          <w:rPr>
            <w:color w:val="1F4E79"/>
            <w:sz w:val="22"/>
            <w:szCs w:val="22"/>
            <w:u w:val="single"/>
          </w:rPr>
          <w:t xml:space="preserve">salazarcabreraja@gmail.com</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Guía de uso · Skill de análisis de subvenciones · TFM · </w:t>
    </w: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sbfjmospjwnivn3ltebs" Type="http://schemas.openxmlformats.org/officeDocument/2006/relationships/hyperlink" Target="mailto:salazarcabreraja@gmail.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2026-06-18T18:45:01.044Z</dcterms:created>
  <dcterms:modified xsi:type="dcterms:W3CDTF">2026-06-18T18:45:01.044Z</dcterms:modified>
</cp:coreProperties>
</file>

<file path=docProps/custom.xml><?xml version="1.0" encoding="utf-8"?>
<Properties xmlns="http://schemas.openxmlformats.org/officeDocument/2006/custom-properties" xmlns:vt="http://schemas.openxmlformats.org/officeDocument/2006/docPropsVTypes"/>
</file>