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CB" w:rsidRPr="00C8658E" w:rsidRDefault="008E09CB" w:rsidP="008E09CB">
      <w:pPr>
        <w:jc w:val="center"/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sectPr w:rsidR="008E09CB" w:rsidRPr="00C8658E" w:rsidSect="00FD1370">
          <w:type w:val="continuous"/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RENTA NACIONAL</w:t>
      </w:r>
    </w:p>
    <w:tbl>
      <w:tblPr>
        <w:tblStyle w:val="Tablaconcuadrcula"/>
        <w:tblW w:w="10143" w:type="dxa"/>
        <w:jc w:val="center"/>
        <w:tblLook w:val="04A0" w:firstRow="1" w:lastRow="0" w:firstColumn="1" w:lastColumn="0" w:noHBand="0" w:noVBand="1"/>
      </w:tblPr>
      <w:tblGrid>
        <w:gridCol w:w="1423"/>
        <w:gridCol w:w="8720"/>
      </w:tblGrid>
      <w:tr w:rsidR="008E09CB" w:rsidRPr="00C2350E" w:rsidTr="00996F6D">
        <w:trPr>
          <w:trHeight w:val="456"/>
          <w:jc w:val="center"/>
        </w:trPr>
        <w:tc>
          <w:tcPr>
            <w:tcW w:w="1423" w:type="dxa"/>
            <w:vMerge w:val="restart"/>
            <w:tcBorders>
              <w:right w:val="nil"/>
            </w:tcBorders>
            <w:vAlign w:val="center"/>
          </w:tcPr>
          <w:p w:rsidR="00CA1579" w:rsidRPr="00C2350E" w:rsidRDefault="008E09CB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lastRenderedPageBreak/>
              <w:t>P</w:t>
            </w:r>
            <w:r w:rsidR="00C2350E" w:rsidRPr="00C2350E">
              <w:rPr>
                <w:rFonts w:eastAsiaTheme="minorEastAsia"/>
                <w:b/>
                <w:color w:val="000000" w:themeColor="text1"/>
                <w:sz w:val="32"/>
              </w:rPr>
              <w:t>BI</w:t>
            </w:r>
            <w:r w:rsidR="00C2350E"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apm</w:t>
            </w:r>
            <w:proofErr w:type="spellEnd"/>
          </w:p>
        </w:tc>
        <w:tc>
          <w:tcPr>
            <w:tcW w:w="8720" w:type="dxa"/>
            <w:tcBorders>
              <w:left w:val="nil"/>
              <w:bottom w:val="nil"/>
            </w:tcBorders>
            <w:vAlign w:val="center"/>
          </w:tcPr>
          <w:p w:rsidR="008E09CB" w:rsidRPr="00C2350E" w:rsidRDefault="008E09CB" w:rsidP="00996F6D">
            <w:pPr>
              <w:spacing w:before="120"/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w:r w:rsidRPr="00C2350E">
              <w:rPr>
                <w:rFonts w:eastAsiaTheme="minorEastAsia"/>
                <w:b/>
                <w:color w:val="000000" w:themeColor="text1"/>
                <w:sz w:val="24"/>
              </w:rPr>
              <w:t>Método de la Producción</w:t>
            </w:r>
          </w:p>
        </w:tc>
      </w:tr>
      <w:tr w:rsidR="008E09CB" w:rsidRPr="00C2350E" w:rsidTr="00996F6D">
        <w:trPr>
          <w:trHeight w:val="702"/>
          <w:jc w:val="center"/>
        </w:trPr>
        <w:tc>
          <w:tcPr>
            <w:tcW w:w="1423" w:type="dxa"/>
            <w:vMerge/>
            <w:tcBorders>
              <w:right w:val="nil"/>
            </w:tcBorders>
            <w:vAlign w:val="center"/>
          </w:tcPr>
          <w:p w:rsidR="008E09CB" w:rsidRPr="00C2350E" w:rsidRDefault="008E09CB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E09CB" w:rsidRPr="00C2350E" w:rsidRDefault="00D329BD" w:rsidP="00996F6D">
            <w:pPr>
              <w:spacing w:after="120" w:line="276" w:lineRule="auto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Producción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Bruta</m:t>
                              </m:r>
                            </m:e>
                          </m:mr>
                        </m: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  <m:t>-Insumos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Gastos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del Mercado</m:t>
                          </m:r>
                        </m:e>
                      </m:mr>
                    </m:m>
                  </m:e>
                </m:nary>
              </m:oMath>
            </m:oMathPara>
          </w:p>
        </w:tc>
      </w:tr>
      <w:tr w:rsidR="00CB7A0E" w:rsidRPr="00C2350E" w:rsidTr="00996F6D">
        <w:trPr>
          <w:trHeight w:val="413"/>
          <w:jc w:val="center"/>
        </w:trPr>
        <w:tc>
          <w:tcPr>
            <w:tcW w:w="1423" w:type="dxa"/>
            <w:vMerge/>
            <w:tcBorders>
              <w:right w:val="nil"/>
            </w:tcBorders>
            <w:vAlign w:val="center"/>
          </w:tcPr>
          <w:p w:rsidR="00CB7A0E" w:rsidRPr="00C2350E" w:rsidRDefault="00CB7A0E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</w:p>
        </w:tc>
        <w:tc>
          <w:tcPr>
            <w:tcW w:w="8720" w:type="dxa"/>
            <w:tcBorders>
              <w:left w:val="nil"/>
              <w:bottom w:val="nil"/>
            </w:tcBorders>
            <w:vAlign w:val="center"/>
          </w:tcPr>
          <w:p w:rsidR="00CB7A0E" w:rsidRPr="00C2350E" w:rsidRDefault="00CB7A0E" w:rsidP="00996F6D">
            <w:pPr>
              <w:spacing w:before="120"/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w:r w:rsidRPr="00C2350E">
              <w:rPr>
                <w:rFonts w:eastAsiaTheme="minorEastAsia"/>
                <w:b/>
                <w:color w:val="000000" w:themeColor="text1"/>
                <w:sz w:val="24"/>
              </w:rPr>
              <w:t>Método de los Ingresos</w:t>
            </w:r>
          </w:p>
        </w:tc>
      </w:tr>
      <w:tr w:rsidR="00CB7A0E" w:rsidRPr="00C2350E" w:rsidTr="00996F6D">
        <w:trPr>
          <w:trHeight w:val="1413"/>
          <w:jc w:val="center"/>
        </w:trPr>
        <w:tc>
          <w:tcPr>
            <w:tcW w:w="1423" w:type="dxa"/>
            <w:vMerge/>
            <w:tcBorders>
              <w:right w:val="nil"/>
            </w:tcBorders>
            <w:vAlign w:val="center"/>
          </w:tcPr>
          <w:p w:rsidR="00CB7A0E" w:rsidRPr="00C2350E" w:rsidRDefault="00CB7A0E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B7A0E" w:rsidRPr="002D1138" w:rsidRDefault="00D329BD" w:rsidP="00996F6D">
            <w:pPr>
              <w:spacing w:line="276" w:lineRule="auto"/>
              <w:ind w:left="-2"/>
              <w:rPr>
                <w:rFonts w:ascii="Calibri" w:eastAsia="Times New Roman" w:hAnsi="Calibri" w:cs="Times New Roman"/>
                <w:b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Remuneraci</m:t>
                          </m:r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o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n a los</m:t>
                          </m:r>
                        </m:e>
                      </m:m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Factores de la Producci</m:t>
                          </m:r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b/>
                                  <w:color w:val="000000" w:themeColor="text1"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</w:rPr>
                                <m:t>o</m:t>
                              </m:r>
                            </m:e>
                          </m:acc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Amortizaci</m:t>
                      </m:r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b/>
                              <w:color w:val="000000" w:themeColor="text1"/>
                              <w:sz w:val="2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</m:t>
                          </m:r>
                        </m:e>
                      </m:acc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n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del Capital Fijo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Impuestos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Indirectos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-Subsidios+Gastos</m:t>
                </m:r>
              </m:oMath>
            </m:oMathPara>
          </w:p>
          <w:p w:rsidR="00727927" w:rsidRPr="002D1138" w:rsidRDefault="00727927" w:rsidP="00996F6D">
            <w:pPr>
              <w:spacing w:line="276" w:lineRule="auto"/>
              <w:ind w:left="-2"/>
              <w:rPr>
                <w:rFonts w:ascii="Calibri" w:eastAsia="Times New Roman" w:hAnsi="Calibri" w:cs="Times New Roman"/>
                <w:b/>
                <w:color w:val="000000" w:themeColor="text1"/>
                <w:sz w:val="10"/>
              </w:rPr>
            </w:pPr>
          </w:p>
          <w:p w:rsidR="004C4933" w:rsidRPr="002D1138" w:rsidRDefault="00D329BD" w:rsidP="002D1138">
            <w:pPr>
              <w:spacing w:after="120" w:line="276" w:lineRule="auto"/>
              <w:rPr>
                <w:rFonts w:ascii="Calibri" w:eastAsia="Times New Roman" w:hAnsi="Calibri" w:cs="Times New Roman"/>
                <w:b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Salario+Rentas+Benef.+Intereses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Amortiz.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Cap. Fijo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Impuestos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Indirectos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-Subs.+Gastos</m:t>
                </m:r>
              </m:oMath>
            </m:oMathPara>
          </w:p>
        </w:tc>
      </w:tr>
      <w:tr w:rsidR="00CB7A0E" w:rsidRPr="00C2350E" w:rsidTr="00996F6D">
        <w:trPr>
          <w:trHeight w:val="413"/>
          <w:jc w:val="center"/>
        </w:trPr>
        <w:tc>
          <w:tcPr>
            <w:tcW w:w="1423" w:type="dxa"/>
            <w:vMerge/>
            <w:tcBorders>
              <w:right w:val="nil"/>
            </w:tcBorders>
            <w:vAlign w:val="center"/>
          </w:tcPr>
          <w:p w:rsidR="00CB7A0E" w:rsidRPr="00C2350E" w:rsidRDefault="00CB7A0E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</w:p>
        </w:tc>
        <w:tc>
          <w:tcPr>
            <w:tcW w:w="8720" w:type="dxa"/>
            <w:tcBorders>
              <w:left w:val="nil"/>
              <w:bottom w:val="nil"/>
            </w:tcBorders>
            <w:vAlign w:val="center"/>
          </w:tcPr>
          <w:p w:rsidR="00CB7A0E" w:rsidRPr="00C2350E" w:rsidRDefault="00CB7A0E" w:rsidP="00996F6D">
            <w:pPr>
              <w:spacing w:before="120"/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w:r w:rsidRPr="00C2350E">
              <w:rPr>
                <w:rFonts w:eastAsiaTheme="minorEastAsia"/>
                <w:b/>
                <w:color w:val="000000" w:themeColor="text1"/>
                <w:sz w:val="24"/>
              </w:rPr>
              <w:t>Método del Gasto Final</w:t>
            </w:r>
          </w:p>
        </w:tc>
      </w:tr>
      <w:tr w:rsidR="00CB7A0E" w:rsidRPr="00C2350E" w:rsidTr="00996F6D">
        <w:trPr>
          <w:trHeight w:val="1269"/>
          <w:jc w:val="center"/>
        </w:trPr>
        <w:tc>
          <w:tcPr>
            <w:tcW w:w="1423" w:type="dxa"/>
            <w:vMerge/>
            <w:tcBorders>
              <w:right w:val="nil"/>
            </w:tcBorders>
            <w:vAlign w:val="center"/>
          </w:tcPr>
          <w:p w:rsidR="00CB7A0E" w:rsidRPr="00C2350E" w:rsidRDefault="00CB7A0E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</w:p>
        </w:tc>
        <w:tc>
          <w:tcPr>
            <w:tcW w:w="872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B7A0E" w:rsidRPr="00C2350E" w:rsidRDefault="00D329BD" w:rsidP="00996F6D">
            <w:pPr>
              <w:spacing w:line="276" w:lineRule="auto"/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=Consumo+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Inversión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Bruta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Ajustes por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Existencias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+Gastos+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 xml:space="preserve">Saldo de la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Balanza Comercial</m:t>
                          </m:r>
                        </m:e>
                      </m:mr>
                    </m:m>
                  </m:e>
                </m:d>
              </m:oMath>
            </m:oMathPara>
          </w:p>
          <w:p w:rsidR="00A83024" w:rsidRPr="00C2350E" w:rsidRDefault="00A83024" w:rsidP="00996F6D">
            <w:pPr>
              <w:spacing w:line="276" w:lineRule="auto"/>
              <w:ind w:left="-2"/>
              <w:rPr>
                <w:rFonts w:ascii="Calibri" w:eastAsia="Times New Roman" w:hAnsi="Calibri" w:cs="Times New Roman"/>
                <w:color w:val="000000" w:themeColor="text1"/>
                <w:sz w:val="10"/>
              </w:rPr>
            </w:pPr>
          </w:p>
          <w:p w:rsidR="00A83024" w:rsidRPr="00C2350E" w:rsidRDefault="00D329BD" w:rsidP="00996F6D">
            <w:pPr>
              <w:spacing w:after="120" w:line="276" w:lineRule="auto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=Consumo+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Inversión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Bruta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Stock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Final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Stock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Inicial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+Gastos+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Exportaciones-Importaciones</m:t>
                    </m:r>
                  </m:e>
                </m:d>
              </m:oMath>
            </m:oMathPara>
          </w:p>
        </w:tc>
      </w:tr>
      <w:tr w:rsidR="00C2350E" w:rsidRPr="00C2350E" w:rsidTr="00DF4D6A">
        <w:trPr>
          <w:trHeight w:val="834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C2350E" w:rsidRPr="00C2350E" w:rsidRDefault="00C2350E" w:rsidP="00996F6D">
            <w:pPr>
              <w:ind w:left="142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PBI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acf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2350E" w:rsidRPr="00FE16E2" w:rsidRDefault="00D329BD" w:rsidP="00996F6D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acf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Impuestos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Indirectos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+Subsidios</m:t>
                </m:r>
              </m:oMath>
            </m:oMathPara>
          </w:p>
        </w:tc>
      </w:tr>
    </w:tbl>
    <w:p w:rsidR="008E09CB" w:rsidRDefault="008E09CB" w:rsidP="002C7B4E">
      <w:pPr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tbl>
      <w:tblPr>
        <w:tblStyle w:val="Tablaconcuadrcula"/>
        <w:tblW w:w="10143" w:type="dxa"/>
        <w:jc w:val="center"/>
        <w:tblLook w:val="04A0" w:firstRow="1" w:lastRow="0" w:firstColumn="1" w:lastColumn="0" w:noHBand="0" w:noVBand="1"/>
      </w:tblPr>
      <w:tblGrid>
        <w:gridCol w:w="1423"/>
        <w:gridCol w:w="8720"/>
      </w:tblGrid>
      <w:tr w:rsidR="00FE16E2" w:rsidRPr="00C2350E" w:rsidTr="00DF4D6A">
        <w:trPr>
          <w:trHeight w:val="837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FE16E2" w:rsidRPr="00C2350E" w:rsidRDefault="00FE16E2" w:rsidP="00FE16E2">
            <w:pPr>
              <w:ind w:left="142"/>
              <w:jc w:val="center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PB</w:t>
            </w:r>
            <w:r>
              <w:rPr>
                <w:rFonts w:eastAsiaTheme="minorEastAsia"/>
                <w:b/>
                <w:color w:val="000000" w:themeColor="text1"/>
                <w:sz w:val="32"/>
              </w:rPr>
              <w:t>N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</w:t>
            </w:r>
            <w:r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pm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E16E2" w:rsidRPr="00FE16E2" w:rsidRDefault="00D329BD" w:rsidP="009C3026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 xml:space="preserve">Saldo de la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Balanza de Pagos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 xml:space="preserve">                         </m:t>
                </m:r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 xml:space="preserve">donde: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 xml:space="preserve">Saldo de la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Balanza de Pagos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Giros del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Exterior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Giros 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Exterior</m:t>
                      </m:r>
                    </m:e>
                  </m:mr>
                </m:m>
              </m:oMath>
            </m:oMathPara>
          </w:p>
        </w:tc>
      </w:tr>
      <w:tr w:rsidR="00FE16E2" w:rsidRPr="00C2350E" w:rsidTr="00DF4D6A">
        <w:trPr>
          <w:trHeight w:val="837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FE16E2" w:rsidRPr="00C2350E" w:rsidRDefault="00FE16E2" w:rsidP="00013D9F">
            <w:pPr>
              <w:ind w:left="142"/>
              <w:jc w:val="center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PB</w:t>
            </w:r>
            <w:r>
              <w:rPr>
                <w:rFonts w:eastAsiaTheme="minorEastAsia"/>
                <w:b/>
                <w:color w:val="000000" w:themeColor="text1"/>
                <w:sz w:val="32"/>
              </w:rPr>
              <w:t>N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acf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E16E2" w:rsidRPr="00FE16E2" w:rsidRDefault="00D329BD" w:rsidP="00013D9F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acf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 xml:space="preserve">Saldo de la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Balanza de Pagos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Impuestos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Indirectos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+Subsidios</m:t>
                </m:r>
              </m:oMath>
            </m:oMathPara>
          </w:p>
        </w:tc>
      </w:tr>
    </w:tbl>
    <w:p w:rsidR="00D64C25" w:rsidRDefault="00D64C25" w:rsidP="00D64C25">
      <w:pPr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tbl>
      <w:tblPr>
        <w:tblStyle w:val="Tablaconcuadrcula"/>
        <w:tblW w:w="10143" w:type="dxa"/>
        <w:jc w:val="center"/>
        <w:tblLook w:val="04A0" w:firstRow="1" w:lastRow="0" w:firstColumn="1" w:lastColumn="0" w:noHBand="0" w:noVBand="1"/>
      </w:tblPr>
      <w:tblGrid>
        <w:gridCol w:w="1423"/>
        <w:gridCol w:w="8720"/>
      </w:tblGrid>
      <w:tr w:rsidR="00D64C25" w:rsidRPr="00C2350E" w:rsidTr="00DF4D6A">
        <w:trPr>
          <w:trHeight w:val="843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D64C25" w:rsidRPr="00C2350E" w:rsidRDefault="00D64C25" w:rsidP="00013D9F">
            <w:pPr>
              <w:ind w:left="142"/>
              <w:jc w:val="center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</w:t>
            </w:r>
            <w:r>
              <w:rPr>
                <w:rFonts w:eastAsiaTheme="minorEastAsia"/>
                <w:b/>
                <w:color w:val="000000" w:themeColor="text1"/>
                <w:sz w:val="32"/>
              </w:rPr>
              <w:t>NI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</w:t>
            </w:r>
            <w:r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pm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D64C25" w:rsidRPr="00FE16E2" w:rsidRDefault="00D329BD" w:rsidP="00AA3E7F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PNI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Amortización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del Capital Fijo</m:t>
                      </m:r>
                    </m:e>
                  </m:mr>
                </m:m>
              </m:oMath>
            </m:oMathPara>
          </w:p>
        </w:tc>
      </w:tr>
      <w:tr w:rsidR="00D64C25" w:rsidRPr="00C2350E" w:rsidTr="00DF4D6A">
        <w:trPr>
          <w:trHeight w:val="843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D64C25" w:rsidRPr="00C2350E" w:rsidRDefault="00D64C25" w:rsidP="00013D9F">
            <w:pPr>
              <w:ind w:left="142"/>
              <w:jc w:val="center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</w:t>
            </w:r>
            <w:r>
              <w:rPr>
                <w:rFonts w:eastAsiaTheme="minorEastAsia"/>
                <w:b/>
                <w:color w:val="000000" w:themeColor="text1"/>
                <w:sz w:val="32"/>
              </w:rPr>
              <w:t>NI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acf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D64C25" w:rsidRPr="00FE16E2" w:rsidRDefault="00D329BD" w:rsidP="00013D9F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PNI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acf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Amortización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del Capital Fijo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Impuestos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Indirectos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+Subsidios</m:t>
                </m:r>
              </m:oMath>
            </m:oMathPara>
          </w:p>
        </w:tc>
      </w:tr>
    </w:tbl>
    <w:p w:rsidR="00AA3E7F" w:rsidRDefault="00AA3E7F" w:rsidP="00AA3E7F">
      <w:pPr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tbl>
      <w:tblPr>
        <w:tblStyle w:val="Tablaconcuadrcula"/>
        <w:tblW w:w="10143" w:type="dxa"/>
        <w:jc w:val="center"/>
        <w:tblLook w:val="04A0" w:firstRow="1" w:lastRow="0" w:firstColumn="1" w:lastColumn="0" w:noHBand="0" w:noVBand="1"/>
      </w:tblPr>
      <w:tblGrid>
        <w:gridCol w:w="1423"/>
        <w:gridCol w:w="8720"/>
      </w:tblGrid>
      <w:tr w:rsidR="00AA3E7F" w:rsidRPr="00C2350E" w:rsidTr="00DF4D6A">
        <w:trPr>
          <w:trHeight w:val="836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AA3E7F" w:rsidRPr="00C2350E" w:rsidRDefault="00AA3E7F" w:rsidP="00AA3E7F">
            <w:pPr>
              <w:ind w:left="142"/>
              <w:jc w:val="center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</w:t>
            </w:r>
            <w:r>
              <w:rPr>
                <w:rFonts w:eastAsiaTheme="minorEastAsia"/>
                <w:b/>
                <w:color w:val="000000" w:themeColor="text1"/>
                <w:sz w:val="32"/>
              </w:rPr>
              <w:t>NN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</w:t>
            </w:r>
            <w:r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pm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A3E7F" w:rsidRPr="00FE16E2" w:rsidRDefault="00D329BD" w:rsidP="00AA3E7F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Amortización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del Capital Fijo</m:t>
                      </m:r>
                    </m:e>
                  </m:mr>
                </m:m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 xml:space="preserve">Saldo de la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Balanza de Pagos</m:t>
                      </m:r>
                    </m:e>
                  </m:mr>
                </m:m>
              </m:oMath>
            </m:oMathPara>
          </w:p>
        </w:tc>
      </w:tr>
      <w:tr w:rsidR="00AA3E7F" w:rsidRPr="00C2350E" w:rsidTr="00DF4D6A">
        <w:trPr>
          <w:trHeight w:val="836"/>
          <w:jc w:val="center"/>
        </w:trPr>
        <w:tc>
          <w:tcPr>
            <w:tcW w:w="1423" w:type="dxa"/>
            <w:tcBorders>
              <w:right w:val="nil"/>
            </w:tcBorders>
            <w:vAlign w:val="center"/>
          </w:tcPr>
          <w:p w:rsidR="00AA3E7F" w:rsidRPr="00C2350E" w:rsidRDefault="00AA3E7F" w:rsidP="00AA3E7F">
            <w:pPr>
              <w:ind w:left="142"/>
              <w:jc w:val="center"/>
              <w:rPr>
                <w:rFonts w:eastAsiaTheme="minorEastAsia"/>
                <w:b/>
                <w:color w:val="000000" w:themeColor="text1"/>
                <w:sz w:val="32"/>
              </w:rPr>
            </w:pPr>
            <w:proofErr w:type="spellStart"/>
            <w:r w:rsidRPr="00C2350E">
              <w:rPr>
                <w:rFonts w:eastAsiaTheme="minorEastAsia"/>
                <w:b/>
                <w:color w:val="000000" w:themeColor="text1"/>
                <w:sz w:val="32"/>
              </w:rPr>
              <w:t>P</w:t>
            </w:r>
            <w:r>
              <w:rPr>
                <w:rFonts w:eastAsiaTheme="minorEastAsia"/>
                <w:b/>
                <w:color w:val="000000" w:themeColor="text1"/>
                <w:sz w:val="32"/>
              </w:rPr>
              <w:t>NN</w:t>
            </w:r>
            <w:r w:rsidRPr="00C2350E">
              <w:rPr>
                <w:rFonts w:eastAsiaTheme="minorEastAsia"/>
                <w:b/>
                <w:color w:val="000000" w:themeColor="text1"/>
                <w:sz w:val="32"/>
                <w:vertAlign w:val="subscript"/>
              </w:rPr>
              <w:t>acf</w:t>
            </w:r>
            <w:proofErr w:type="spellEnd"/>
          </w:p>
        </w:tc>
        <w:tc>
          <w:tcPr>
            <w:tcW w:w="8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A3E7F" w:rsidRPr="00FE16E2" w:rsidRDefault="00D329BD" w:rsidP="00AA3E7F">
            <w:pPr>
              <w:ind w:left="-2"/>
              <w:rPr>
                <w:rFonts w:ascii="Calibri" w:eastAsia="Times New Roman" w:hAnsi="Calibri" w:cs="Times New Roman"/>
                <w:color w:val="000000" w:themeColor="text1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acf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PBI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apm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Amortización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del Capital Fijo</m:t>
                      </m:r>
                    </m:e>
                  </m:mr>
                </m:m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 xml:space="preserve">Saldo de la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Balanza de Pagos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Impuestos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0"/>
                        </w:rPr>
                        <m:t>Indirectos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+Subsidios</m:t>
                </m:r>
              </m:oMath>
            </m:oMathPara>
          </w:p>
        </w:tc>
      </w:tr>
    </w:tbl>
    <w:p w:rsidR="00EA2276" w:rsidRDefault="00EA2276" w:rsidP="002C7B4E">
      <w:pPr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FE16E2" w:rsidRPr="00EA2276" w:rsidRDefault="00FE16E2" w:rsidP="00EA2276">
      <w:pPr>
        <w:rPr>
          <w:rFonts w:eastAsiaTheme="minorEastAsia"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FE16E2" w:rsidRPr="000F3F4E" w:rsidRDefault="00D329BD" w:rsidP="00EA2276">
      <w:pPr>
        <w:spacing w:line="480" w:lineRule="auto"/>
        <w:ind w:left="567" w:firstLine="142"/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</w:rPr>
                <m:t>···</m:t>
              </m:r>
            </m:e>
            <m:sub>
              <m:borderBox>
                <m:borderBoxPr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apm</m:t>
                  </m:r>
                </m:e>
              </m:borderBox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→ 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</w:rPr>
                <m:t>···</m:t>
              </m:r>
            </m:e>
            <m:sub>
              <m:borderBox>
                <m:borderBoxPr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acf</m:t>
                  </m:r>
                </m:e>
              </m:borderBox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        </m:t>
          </m:r>
          <m:box>
            <m:boxPr>
              <m:opEmu m:val="1"/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      -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Impuestos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Indirectos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+ Subsidios</m:t>
          </m:r>
        </m:oMath>
      </m:oMathPara>
    </w:p>
    <w:p w:rsidR="00E90E44" w:rsidRPr="000F3F4E" w:rsidRDefault="00D329BD" w:rsidP="00E90E44">
      <w:pPr>
        <w:spacing w:line="480" w:lineRule="auto"/>
        <w:ind w:left="567" w:firstLine="142"/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</w:rPr>
                <m:t>·</m:t>
              </m:r>
              <m:borderBox>
                <m:borderBoxPr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B</m:t>
                  </m:r>
                </m:e>
              </m:borderBox>
              <m:r>
                <w:rPr>
                  <w:rFonts w:ascii="Cambria Math" w:hAnsi="Cambria Math"/>
                  <w:color w:val="000000" w:themeColor="text1"/>
                  <w:sz w:val="20"/>
                </w:rPr>
                <m:t>·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</w:rPr>
                <m:t>···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→ 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</w:rPr>
                <m:t>·</m:t>
              </m:r>
              <m:borderBox>
                <m:borderBoxPr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N</m:t>
                  </m:r>
                </m:e>
              </m:borderBox>
              <m:r>
                <w:rPr>
                  <w:rFonts w:ascii="Cambria Math" w:hAnsi="Cambria Math"/>
                  <w:color w:val="000000" w:themeColor="text1"/>
                  <w:sz w:val="20"/>
                </w:rPr>
                <m:t>·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</w:rPr>
                <m:t>···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        </m:t>
          </m:r>
          <m:box>
            <m:boxPr>
              <m:opEmu m:val="1"/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      -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Amortización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del Capital Fijo</m:t>
                </m:r>
              </m:e>
            </m:mr>
          </m:m>
        </m:oMath>
      </m:oMathPara>
    </w:p>
    <w:p w:rsidR="00FE16E2" w:rsidRPr="000F3F4E" w:rsidRDefault="00D329BD" w:rsidP="00EA2276">
      <w:pPr>
        <w:spacing w:line="480" w:lineRule="auto"/>
        <w:ind w:left="567" w:firstLine="142"/>
        <w:jc w:val="center"/>
        <w:rPr>
          <w:rFonts w:eastAsiaTheme="minorEastAsia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</w:rPr>
                <m:t>··</m:t>
              </m:r>
              <m:borderBox>
                <m:borderBoxPr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I</m:t>
                  </m:r>
                </m:e>
              </m:borderBox>
            </m:e>
            <m:sub>
              <m:r>
                <w:rPr>
                  <w:rFonts w:ascii="Cambria Math" w:hAnsi="Cambria Math"/>
                  <w:color w:val="000000" w:themeColor="text1"/>
                  <w:sz w:val="20"/>
                </w:rPr>
                <m:t>···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→  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</w:rPr>
                <m:t>··</m:t>
              </m:r>
              <m:borderBox>
                <m:borderBoxPr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</w:rPr>
                    <m:t>N</m:t>
                  </m:r>
                </m:e>
              </m:borderBox>
            </m:e>
            <m:sub>
              <m:r>
                <w:rPr>
                  <w:rFonts w:ascii="Cambria Math" w:hAnsi="Cambria Math"/>
                  <w:color w:val="000000" w:themeColor="text1"/>
                  <w:sz w:val="20"/>
                </w:rPr>
                <m:t>···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        </m:t>
          </m:r>
          <m:box>
            <m:boxPr>
              <m:opEmu m:val="1"/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color w:val="000000" w:themeColor="text1"/>
                      <w:sz w:val="20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 xml:space="preserve">       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 xml:space="preserve">Saldo de la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Balanza de Pagos</m:t>
                </m:r>
              </m:e>
            </m:mr>
          </m:m>
        </m:oMath>
      </m:oMathPara>
    </w:p>
    <w:p w:rsidR="00FE16E2" w:rsidRPr="00C95763" w:rsidRDefault="00FE16E2" w:rsidP="00EA2276">
      <w:pPr>
        <w:ind w:left="567" w:firstLine="142"/>
        <w:jc w:val="center"/>
        <w:rPr>
          <w:rFonts w:eastAsiaTheme="minorEastAsia"/>
          <w:b/>
          <w:color w:val="000000" w:themeColor="text1"/>
          <w:sz w:val="1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bookmarkStart w:id="0" w:name="_GoBack"/>
      <w:bookmarkEnd w:id="0"/>
    </w:p>
    <w:sectPr w:rsidR="00FE16E2" w:rsidRPr="00C95763" w:rsidSect="00FD1370"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D6E64"/>
    <w:multiLevelType w:val="hybridMultilevel"/>
    <w:tmpl w:val="594041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108CA"/>
    <w:multiLevelType w:val="hybridMultilevel"/>
    <w:tmpl w:val="B7804B62"/>
    <w:lvl w:ilvl="0" w:tplc="873800C2">
      <w:numFmt w:val="bullet"/>
      <w:lvlText w:val="–"/>
      <w:lvlJc w:val="left"/>
      <w:pPr>
        <w:ind w:left="439" w:hanging="360"/>
      </w:pPr>
      <w:rPr>
        <w:rFonts w:ascii="Cambria" w:eastAsiaTheme="minorEastAsia" w:hAnsi="Cambria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FD"/>
    <w:rsid w:val="000013AE"/>
    <w:rsid w:val="00005BB8"/>
    <w:rsid w:val="00013D9F"/>
    <w:rsid w:val="0001574A"/>
    <w:rsid w:val="00031C7F"/>
    <w:rsid w:val="00033D9F"/>
    <w:rsid w:val="00037611"/>
    <w:rsid w:val="00054CEC"/>
    <w:rsid w:val="0006686F"/>
    <w:rsid w:val="00084CA6"/>
    <w:rsid w:val="000C41C3"/>
    <w:rsid w:val="000C78E2"/>
    <w:rsid w:val="000F02F4"/>
    <w:rsid w:val="000F3F4E"/>
    <w:rsid w:val="00111775"/>
    <w:rsid w:val="0011225F"/>
    <w:rsid w:val="001127C1"/>
    <w:rsid w:val="00122F91"/>
    <w:rsid w:val="0013531C"/>
    <w:rsid w:val="0014292A"/>
    <w:rsid w:val="00151E5D"/>
    <w:rsid w:val="00163BA1"/>
    <w:rsid w:val="00164EC0"/>
    <w:rsid w:val="0018603A"/>
    <w:rsid w:val="001A5DAB"/>
    <w:rsid w:val="001C164A"/>
    <w:rsid w:val="001C4477"/>
    <w:rsid w:val="001C6E43"/>
    <w:rsid w:val="001D5D50"/>
    <w:rsid w:val="001F7390"/>
    <w:rsid w:val="00202FF1"/>
    <w:rsid w:val="00204E27"/>
    <w:rsid w:val="00207819"/>
    <w:rsid w:val="00215AE0"/>
    <w:rsid w:val="00233ED3"/>
    <w:rsid w:val="00274A5E"/>
    <w:rsid w:val="00281B29"/>
    <w:rsid w:val="002850F5"/>
    <w:rsid w:val="002917F7"/>
    <w:rsid w:val="002C24B4"/>
    <w:rsid w:val="002C3D67"/>
    <w:rsid w:val="002C7B4E"/>
    <w:rsid w:val="002D1138"/>
    <w:rsid w:val="002F252C"/>
    <w:rsid w:val="002F62C0"/>
    <w:rsid w:val="0030046E"/>
    <w:rsid w:val="003108FF"/>
    <w:rsid w:val="003117CC"/>
    <w:rsid w:val="00314DA7"/>
    <w:rsid w:val="00317E65"/>
    <w:rsid w:val="00333ED4"/>
    <w:rsid w:val="00356E53"/>
    <w:rsid w:val="00360604"/>
    <w:rsid w:val="00365A22"/>
    <w:rsid w:val="00380E1F"/>
    <w:rsid w:val="003A48B3"/>
    <w:rsid w:val="003E2AC2"/>
    <w:rsid w:val="003F5DE6"/>
    <w:rsid w:val="004107DE"/>
    <w:rsid w:val="00411381"/>
    <w:rsid w:val="0041261F"/>
    <w:rsid w:val="00417212"/>
    <w:rsid w:val="00417E9D"/>
    <w:rsid w:val="00433DC5"/>
    <w:rsid w:val="004548C1"/>
    <w:rsid w:val="004652BD"/>
    <w:rsid w:val="004704B2"/>
    <w:rsid w:val="00483568"/>
    <w:rsid w:val="004C379A"/>
    <w:rsid w:val="004C4933"/>
    <w:rsid w:val="004C7652"/>
    <w:rsid w:val="004D00C1"/>
    <w:rsid w:val="004D3438"/>
    <w:rsid w:val="004D5A2F"/>
    <w:rsid w:val="004F5327"/>
    <w:rsid w:val="005134B1"/>
    <w:rsid w:val="00516F96"/>
    <w:rsid w:val="00517429"/>
    <w:rsid w:val="00573C0F"/>
    <w:rsid w:val="00574773"/>
    <w:rsid w:val="005764EB"/>
    <w:rsid w:val="00577430"/>
    <w:rsid w:val="005C37BA"/>
    <w:rsid w:val="005C63C6"/>
    <w:rsid w:val="005D36A5"/>
    <w:rsid w:val="005E4D48"/>
    <w:rsid w:val="005F0873"/>
    <w:rsid w:val="005F61C6"/>
    <w:rsid w:val="00604370"/>
    <w:rsid w:val="006160AD"/>
    <w:rsid w:val="0063324B"/>
    <w:rsid w:val="00644954"/>
    <w:rsid w:val="00666A12"/>
    <w:rsid w:val="00666D1D"/>
    <w:rsid w:val="006B3985"/>
    <w:rsid w:val="006C5176"/>
    <w:rsid w:val="006D00F6"/>
    <w:rsid w:val="007078C5"/>
    <w:rsid w:val="00715AEF"/>
    <w:rsid w:val="00727927"/>
    <w:rsid w:val="00732FB0"/>
    <w:rsid w:val="00746C40"/>
    <w:rsid w:val="007600F0"/>
    <w:rsid w:val="007647DD"/>
    <w:rsid w:val="007737B7"/>
    <w:rsid w:val="00775626"/>
    <w:rsid w:val="007767AB"/>
    <w:rsid w:val="007A36FD"/>
    <w:rsid w:val="007D272C"/>
    <w:rsid w:val="007F7B7B"/>
    <w:rsid w:val="00804155"/>
    <w:rsid w:val="00806B39"/>
    <w:rsid w:val="00810164"/>
    <w:rsid w:val="008213D6"/>
    <w:rsid w:val="008333BC"/>
    <w:rsid w:val="008457BE"/>
    <w:rsid w:val="0086168E"/>
    <w:rsid w:val="00862CAE"/>
    <w:rsid w:val="00875D5F"/>
    <w:rsid w:val="0088062A"/>
    <w:rsid w:val="008866F4"/>
    <w:rsid w:val="008A37DC"/>
    <w:rsid w:val="008B3B59"/>
    <w:rsid w:val="008C707B"/>
    <w:rsid w:val="008D2364"/>
    <w:rsid w:val="008E09CB"/>
    <w:rsid w:val="008E2837"/>
    <w:rsid w:val="008F0440"/>
    <w:rsid w:val="0090453D"/>
    <w:rsid w:val="00921470"/>
    <w:rsid w:val="0092316B"/>
    <w:rsid w:val="00926BA5"/>
    <w:rsid w:val="0093572E"/>
    <w:rsid w:val="0094057A"/>
    <w:rsid w:val="00961C86"/>
    <w:rsid w:val="00996F6D"/>
    <w:rsid w:val="009A3ADA"/>
    <w:rsid w:val="009B1DD6"/>
    <w:rsid w:val="009B7EBC"/>
    <w:rsid w:val="009C3026"/>
    <w:rsid w:val="009C5567"/>
    <w:rsid w:val="009F6A16"/>
    <w:rsid w:val="00A204F8"/>
    <w:rsid w:val="00A21FB1"/>
    <w:rsid w:val="00A23D68"/>
    <w:rsid w:val="00A2551F"/>
    <w:rsid w:val="00A27B10"/>
    <w:rsid w:val="00A538C4"/>
    <w:rsid w:val="00A53E1D"/>
    <w:rsid w:val="00A70EBE"/>
    <w:rsid w:val="00A83024"/>
    <w:rsid w:val="00A85F95"/>
    <w:rsid w:val="00A9202F"/>
    <w:rsid w:val="00A97500"/>
    <w:rsid w:val="00A97FFC"/>
    <w:rsid w:val="00AA3E7F"/>
    <w:rsid w:val="00AA7875"/>
    <w:rsid w:val="00AB702D"/>
    <w:rsid w:val="00AD5038"/>
    <w:rsid w:val="00AE413C"/>
    <w:rsid w:val="00B02198"/>
    <w:rsid w:val="00B242E6"/>
    <w:rsid w:val="00B547E7"/>
    <w:rsid w:val="00B5789E"/>
    <w:rsid w:val="00B706EC"/>
    <w:rsid w:val="00B9051F"/>
    <w:rsid w:val="00BA77F5"/>
    <w:rsid w:val="00BB7DA7"/>
    <w:rsid w:val="00BD03D9"/>
    <w:rsid w:val="00BD0BB0"/>
    <w:rsid w:val="00BD231A"/>
    <w:rsid w:val="00BD4267"/>
    <w:rsid w:val="00BE565C"/>
    <w:rsid w:val="00C027B8"/>
    <w:rsid w:val="00C1094A"/>
    <w:rsid w:val="00C2350E"/>
    <w:rsid w:val="00C2388A"/>
    <w:rsid w:val="00C511F6"/>
    <w:rsid w:val="00C555D1"/>
    <w:rsid w:val="00C63E40"/>
    <w:rsid w:val="00C8658E"/>
    <w:rsid w:val="00C933CB"/>
    <w:rsid w:val="00C95763"/>
    <w:rsid w:val="00CA1579"/>
    <w:rsid w:val="00CA1D9A"/>
    <w:rsid w:val="00CA471B"/>
    <w:rsid w:val="00CA65BE"/>
    <w:rsid w:val="00CB5632"/>
    <w:rsid w:val="00CB7A0E"/>
    <w:rsid w:val="00CC3B66"/>
    <w:rsid w:val="00CD1873"/>
    <w:rsid w:val="00D123DF"/>
    <w:rsid w:val="00D24FD9"/>
    <w:rsid w:val="00D31AB8"/>
    <w:rsid w:val="00D329BD"/>
    <w:rsid w:val="00D34D06"/>
    <w:rsid w:val="00D36A76"/>
    <w:rsid w:val="00D46639"/>
    <w:rsid w:val="00D643B7"/>
    <w:rsid w:val="00D64C25"/>
    <w:rsid w:val="00D656A0"/>
    <w:rsid w:val="00D70144"/>
    <w:rsid w:val="00D70C7B"/>
    <w:rsid w:val="00D75386"/>
    <w:rsid w:val="00D863EA"/>
    <w:rsid w:val="00DA182F"/>
    <w:rsid w:val="00DA4365"/>
    <w:rsid w:val="00DB4E31"/>
    <w:rsid w:val="00DF4D6A"/>
    <w:rsid w:val="00E04148"/>
    <w:rsid w:val="00E35211"/>
    <w:rsid w:val="00E439E8"/>
    <w:rsid w:val="00E448E6"/>
    <w:rsid w:val="00E506EF"/>
    <w:rsid w:val="00E62C0B"/>
    <w:rsid w:val="00E90E44"/>
    <w:rsid w:val="00E912A2"/>
    <w:rsid w:val="00E974A6"/>
    <w:rsid w:val="00EA1A7F"/>
    <w:rsid w:val="00EA2276"/>
    <w:rsid w:val="00EA3209"/>
    <w:rsid w:val="00EB7486"/>
    <w:rsid w:val="00EF5414"/>
    <w:rsid w:val="00F12285"/>
    <w:rsid w:val="00F1417D"/>
    <w:rsid w:val="00F22DD6"/>
    <w:rsid w:val="00F24565"/>
    <w:rsid w:val="00F43056"/>
    <w:rsid w:val="00F4384B"/>
    <w:rsid w:val="00F51599"/>
    <w:rsid w:val="00F52F15"/>
    <w:rsid w:val="00F55957"/>
    <w:rsid w:val="00F57432"/>
    <w:rsid w:val="00F61FA1"/>
    <w:rsid w:val="00F841DD"/>
    <w:rsid w:val="00F96E85"/>
    <w:rsid w:val="00FC195A"/>
    <w:rsid w:val="00FC3102"/>
    <w:rsid w:val="00FD1370"/>
    <w:rsid w:val="00FE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36F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15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6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36F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15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248</cp:revision>
  <dcterms:created xsi:type="dcterms:W3CDTF">2015-05-02T04:07:00Z</dcterms:created>
  <dcterms:modified xsi:type="dcterms:W3CDTF">2015-06-25T06:16:00Z</dcterms:modified>
</cp:coreProperties>
</file>