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180" w:right="-1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EXAMEN FINAL DE ECONOMÍA CÓDIGO 95 - 0309 </w:t>
        <w:tab/>
        <w:t xml:space="preserve">FECHA: 11 de Febrero de 2014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55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1"/>
        <w:gridCol w:w="1281"/>
        <w:gridCol w:w="1280"/>
        <w:gridCol w:w="1285"/>
        <w:gridCol w:w="1603"/>
        <w:gridCol w:w="1285"/>
        <w:gridCol w:w="3100"/>
        <w:tblGridChange w:id="0">
          <w:tblGrid>
            <w:gridCol w:w="1221"/>
            <w:gridCol w:w="1281"/>
            <w:gridCol w:w="1280"/>
            <w:gridCol w:w="1285"/>
            <w:gridCol w:w="1603"/>
            <w:gridCol w:w="1285"/>
            <w:gridCol w:w="310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54 a 59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60 a 64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65 a 71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72 a 79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80 a 87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88 a 97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Más de 97 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4 (cuatro)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 (seis)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 (siete)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 (ocho)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9 (nueve)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10 (diez)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vertAlign w:val="baseline"/>
          <w:rtl w:val="0"/>
        </w:rPr>
        <w:t xml:space="preserve"> REQUISITOS PARA LA APROBACIÓN DEL EXAMEN FINAL: Debe sumar puntos de cada una de las unidades evaluadas y alcanzar 54 sobre los 100 puntos propuestos, luego de lo cual la calificación será: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ALUMNA/O.............................................................................................LEGAJO Nº.............................................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30 puntos. COSTOS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Una empresa fabrica un único producto de manera tal que la cantidad producida durante el año = 1.000 unidades -Cantidad vendida durante el año = 800 unidades - P. Terminada al inicio = 0 unidades - P. Terminada al final = 200 unidades – Consumo de mano de obra directa = 24.000 horas hombre/año-Consumo de materias primas = 2.000 Kg./año - Gastos de fabricación variables = 3.000 $/año -Gastos de fabricación fijos = 50.000 $/año.- Gastos de comercialización variables = 15.000 $/año.- Gastos de comercialización fijos = 50.000 $/año.- Gastos de administración y finanzas = 20.000$/año.- Precio del producto = 293,75 $/unidad - Costo de mano de obra directa =5$/h. (incluidas las cargas sociales) - Costo de materia prima = 1$/Kg.- Impuesto a las ganancias 35%. Se pide calcular: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72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La utilidad neta operativa después de impuestos a las ganancias si lleva sistema de costeo directo.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72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La utilidad neta operativa después de impuestos a las ganancias si lleva sistema de costeo por absorción.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72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valor de la producción terminada al final del ejercicio si lleva sistema de costeo directo.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72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valor de la producción terminada al final del ejercicio si lleva sistema de costeo por absorción.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Analice e interprete: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72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Las diferencias observadas en los valores obtenidos en los puntos 1 y 2 y en los puntos 3 y 4.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080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40 puntos. UNIDAD N° 10 DESARROLLO EVALUACIÓN Y SELECCIÓN DE PROYECTOS DE INVERSIÓN.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5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89"/>
        <w:tblGridChange w:id="0">
          <w:tblGrid>
            <w:gridCol w:w="9589"/>
          </w:tblGrid>
        </w:tblGridChange>
      </w:tblGrid>
      <w:tr>
        <w:trPr>
          <w:trHeight w:val="29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 Instantes                                          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vertAlign w:val="baseline"/>
                <w:rtl w:val="0"/>
              </w:rPr>
              <w:t xml:space="preserve">           -1      </w:t>
              <w:tab/>
              <w:t xml:space="preserve">            0</w:t>
              <w:tab/>
              <w:t xml:space="preserve">         </w:t>
              <w:tab/>
              <w:t xml:space="preserve">           1                           2                           3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Utilidades netas antes de impuestos</w:t>
              <w:tab/>
              <w:t xml:space="preserve">   0</w:t>
              <w:tab/>
              <w:tab/>
              <w:t xml:space="preserve"> 0</w:t>
              <w:tab/>
              <w:t xml:space="preserve">1.865.789</w:t>
              <w:tab/>
              <w:t xml:space="preserve">2.000.000</w:t>
              <w:tab/>
              <w:t xml:space="preserve">3.100.000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Inversión fija </w:t>
              <w:tab/>
              <w:tab/>
              <w:t xml:space="preserve">               </w:t>
              <w:tab/>
              <w:t xml:space="preserve">   2.000.000</w:t>
              <w:tab/>
              <w:t xml:space="preserve"> 2.000.000                            0</w:t>
              <w:tab/>
              <w:t xml:space="preserve">                0                             0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activo de trabajo</w:t>
              <w:tab/>
              <w:t xml:space="preserve">                                                 0</w:t>
              <w:tab/>
              <w:tab/>
              <w:t xml:space="preserve"> 0</w:t>
              <w:tab/>
              <w:t xml:space="preserve">1.000.000</w:t>
              <w:tab/>
              <w:t xml:space="preserve">                0</w:t>
              <w:tab/>
              <w:t xml:space="preserve">              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amortización del capital fijo</w:t>
              <w:tab/>
              <w:t xml:space="preserve"> </w:t>
              <w:tab/>
              <w:t xml:space="preserve">  0</w:t>
              <w:tab/>
              <w:tab/>
              <w:t xml:space="preserve"> 0</w:t>
              <w:tab/>
              <w:t xml:space="preserve">1.500.000</w:t>
              <w:tab/>
              <w:t xml:space="preserve">1.000.000</w:t>
              <w:tab/>
              <w:t xml:space="preserve">    800.000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crédito fiscal IVA</w:t>
              <w:tab/>
              <w:tab/>
              <w:tab/>
              <w:t xml:space="preserve">      420.000               420.000</w:t>
              <w:tab/>
              <w:t xml:space="preserve">               0</w:t>
              <w:tab/>
              <w:t xml:space="preserve">               0                               0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Impuestos a las ganancias</w:t>
              <w:tab/>
              <w:tab/>
              <w:tab/>
              <w:t xml:space="preserve">  0</w:t>
              <w:tab/>
              <w:tab/>
              <w:t xml:space="preserve">0</w:t>
              <w:tab/>
              <w:t xml:space="preserve">   653.026</w:t>
              <w:tab/>
              <w:t xml:space="preserve">   700.000</w:t>
              <w:tab/>
              <w:t xml:space="preserve"> 1.085.000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Recuperación valor final de la inv. Fija</w:t>
              <w:tab/>
              <w:t xml:space="preserve">  0</w:t>
              <w:tab/>
              <w:tab/>
              <w:t xml:space="preserve">0</w:t>
              <w:tab/>
              <w:tab/>
              <w:t xml:space="preserve"> 0</w:t>
              <w:tab/>
              <w:tab/>
              <w:t xml:space="preserve"> 0</w:t>
              <w:tab/>
              <w:t xml:space="preserve">    700.000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Recuperación del activo de trabajo</w:t>
              <w:tab/>
              <w:tab/>
              <w:t xml:space="preserve">  0</w:t>
              <w:tab/>
              <w:tab/>
              <w:t xml:space="preserve">0</w:t>
              <w:tab/>
              <w:tab/>
              <w:t xml:space="preserve"> 0</w:t>
              <w:tab/>
              <w:tab/>
              <w:t xml:space="preserve"> 0</w:t>
              <w:tab/>
              <w:t xml:space="preserve"> 1.000.000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Honorarios del directorio</w:t>
              <w:tab/>
              <w:tab/>
              <w:t xml:space="preserve">         40.000               40.000</w:t>
              <w:tab/>
              <w:t xml:space="preserve">      40.000</w:t>
              <w:tab/>
              <w:t xml:space="preserve">       40.000   </w:t>
              <w:tab/>
              <w:t xml:space="preserve">      40.000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Recuperación del crédito fiscal</w:t>
              <w:tab/>
              <w:t xml:space="preserve">   </w:t>
              <w:tab/>
              <w:t xml:space="preserve">   0</w:t>
              <w:tab/>
              <w:tab/>
              <w:t xml:space="preserve">0</w:t>
              <w:tab/>
              <w:t xml:space="preserve">    200.000</w:t>
              <w:tab/>
              <w:t xml:space="preserve">     340.000                300.000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vertAlign w:val="baseline"/>
          <w:rtl w:val="0"/>
        </w:rPr>
        <w:t xml:space="preserve">El proyecto de inversión cuyos movimientos financieros aparecen en el cuadro anterior, necesita ser evaluado por lo que se pide que: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72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Determine el flujo de fondos proyectados.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Calcule el valor de los fondos autogenerados por el propio proyecto de inversión durante los primeros tres años de explotación.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72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Calcule el beneficio del proyecto.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72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Aconseje o rechace la inversión si la tasa de oportunidad de los inversores es del 20% anual.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72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Calcule los intereses sobre el capital residual arriesgado por los inversores (beneficio normal).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vertAlign w:val="baseline"/>
          <w:rtl w:val="0"/>
        </w:rPr>
        <w:t xml:space="preserve">30 puntos. Unidad N° 8 Contabilidad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Según los valores de los siguientes números índices al final del período 2013 que se presentan en la tabla y si las Ventas del período fueron  de $12.000.000 calcule:</w:t>
      </w:r>
    </w:p>
    <w:tbl>
      <w:tblPr>
        <w:tblStyle w:val="Table3"/>
        <w:bidi w:val="0"/>
        <w:tblW w:w="525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62"/>
        <w:gridCol w:w="622"/>
        <w:gridCol w:w="1075"/>
        <w:tblGridChange w:id="0">
          <w:tblGrid>
            <w:gridCol w:w="3562"/>
            <w:gridCol w:w="622"/>
            <w:gridCol w:w="107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Números índices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De Rotación del Activo Corriente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Veces/año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Plazo de Crédito Concedido a clientes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Plazo de Inmovilización de P. Terminados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De Solvencia de corto plazo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$/$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De Liquidez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$/$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El valor del Pasivo Exigible Corriente al final del período.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vertAlign w:val="baseline"/>
          <w:rtl w:val="0"/>
        </w:rPr>
        <w:t xml:space="preserve">8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El valor de los Créditos al final del período.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vertAlign w:val="baseline"/>
          <w:rtl w:val="0"/>
        </w:rPr>
        <w:t xml:space="preserve">8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El valor de Caja y Bancos al final del período.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vertAlign w:val="baseline"/>
          <w:rtl w:val="0"/>
        </w:rPr>
        <w:t xml:space="preserve">8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El valor del Activo Corriente al final del período.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vertAlign w:val="baseline"/>
          <w:rtl w:val="0"/>
        </w:rPr>
        <w:t xml:space="preserve">6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7"/>
      <w:pgMar w:bottom="719" w:top="539" w:left="540" w:right="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drawing>
        <wp:inline distB="0" distT="0" distL="114300" distR="114300">
          <wp:extent cx="2714625" cy="547370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4625" cy="5473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714625" cy="547370"/>
          <wp:effectExtent b="0" l="0" r="0" t="0"/>
          <wp:wrapNone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4625" cy="5473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b w:val="1"/>
        <w:i w:val="0"/>
        <w:color w:val="000000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i w:val="1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b w:val="0"/>
        <w:sz w:val="22"/>
        <w:vertAlign w:val="baseline"/>
      </w:rPr>
    </w:lvl>
    <w:lvl w:ilvl="2">
      <w:start w:val="1"/>
      <w:numFmt w:val="decimal"/>
      <w:lvlText w:val="%3."/>
      <w:lvlJc w:val="left"/>
      <w:pPr>
        <w:ind w:left="1980" w:firstLine="1620"/>
      </w:pPr>
      <w:rPr>
        <w:b w:val="0"/>
        <w:sz w:val="18"/>
        <w:vertAlign w:val="baseline"/>
      </w:rPr>
    </w:lvl>
    <w:lvl w:ilvl="3">
      <w:start w:val="1"/>
      <w:numFmt w:val="lowerLetter"/>
      <w:lvlText w:val="%4."/>
      <w:lvlJc w:val="left"/>
      <w:pPr>
        <w:ind w:left="2520" w:firstLine="2160"/>
      </w:pPr>
      <w:rPr>
        <w:b w:val="1"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03.png"/><Relationship Id="rId1" Type="http://schemas.openxmlformats.org/officeDocument/2006/relationships/image" Target="media/image01.png"/></Relationships>
</file>