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REQUISITOS PARA LA APROBACIÓN DEL EXAMEN FINAL: Debe sumar puntos de cada una de las unidades evaluadas y alcanzar 54 sobre los 100 puntos propuestos, luego de lo cual la calificación será:</w:t>
      </w:r>
      <w:r w:rsidDel="00000000" w:rsidR="00000000" w:rsidRPr="00000000">
        <w:rPr>
          <w:rtl w:val="0"/>
        </w:rPr>
      </w:r>
    </w:p>
    <w:tbl>
      <w:tblPr>
        <w:tblStyle w:val="Table1"/>
        <w:bidi w:val="0"/>
        <w:tblW w:w="108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1440"/>
        <w:gridCol w:w="1440"/>
        <w:gridCol w:w="1440"/>
        <w:gridCol w:w="1621"/>
        <w:gridCol w:w="1440"/>
        <w:gridCol w:w="1947"/>
        <w:tblGridChange w:id="0">
          <w:tblGrid>
            <w:gridCol w:w="1548"/>
            <w:gridCol w:w="1440"/>
            <w:gridCol w:w="1440"/>
            <w:gridCol w:w="1440"/>
            <w:gridCol w:w="1621"/>
            <w:gridCol w:w="1440"/>
            <w:gridCol w:w="1947"/>
          </w:tblGrid>
        </w:tblGridChange>
      </w:tblGrid>
      <w:tr>
        <w:trPr>
          <w:trHeight w:val="340" w:hRule="atLeast"/>
        </w:trPr>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54 a 59 puntos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60 a 64 puntos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65 a 71 puntos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72 a 79 puntos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80 a 87 puntos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88 a 97 puntos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Más de 97  puntos</w:t>
            </w:r>
            <w:r w:rsidDel="00000000" w:rsidR="00000000" w:rsidRPr="00000000">
              <w:rPr>
                <w:rtl w:val="0"/>
              </w:rPr>
            </w:r>
          </w:p>
        </w:tc>
      </w:tr>
      <w:tr>
        <w:trPr>
          <w:trHeight w:val="360" w:hRule="atLeast"/>
        </w:trPr>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4 (cuatro)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5 (cinco)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6 (seis)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7 (siete)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8 (ocho)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9 (nueve)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sz w:val="18"/>
                <w:vertAlign w:val="baseline"/>
                <w:rtl w:val="0"/>
              </w:rPr>
              <w:t xml:space="preserve">10 (diez)</w:t>
            </w:r>
            <w:r w:rsidDel="00000000" w:rsidR="00000000" w:rsidRPr="00000000">
              <w:rPr>
                <w:rtl w:val="0"/>
              </w:rPr>
            </w:r>
          </w:p>
        </w:tc>
      </w:tr>
      <w:tr>
        <w:trPr>
          <w:trHeight w:val="68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B</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C</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D</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Puntos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Nota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18"/>
                <w:vertAlign w:val="baseline"/>
                <w:rtl w:val="0"/>
              </w:rPr>
              <w:t xml:space="preserve">Nota</w:t>
            </w:r>
            <w:r w:rsidDel="00000000" w:rsidR="00000000" w:rsidRPr="00000000">
              <w:rPr>
                <w:rtl w:val="0"/>
              </w:rPr>
            </w:r>
          </w:p>
        </w:tc>
      </w:tr>
    </w:tbl>
    <w:p w:rsidR="00000000" w:rsidDel="00000000" w:rsidP="00000000" w:rsidRDefault="00000000" w:rsidRPr="00000000">
      <w:pPr>
        <w:numPr>
          <w:ilvl w:val="0"/>
          <w:numId w:val="3"/>
        </w:numPr>
        <w:ind w:left="1440" w:hanging="360"/>
        <w:rPr>
          <w:rFonts w:ascii="Calibri" w:cs="Calibri" w:eastAsia="Calibri" w:hAnsi="Calibri"/>
          <w:i w:val="0"/>
          <w:sz w:val="20"/>
        </w:rPr>
      </w:pPr>
      <w:r w:rsidDel="00000000" w:rsidR="00000000" w:rsidRPr="00000000">
        <w:rPr>
          <w:rFonts w:ascii="Calibri" w:cs="Calibri" w:eastAsia="Calibri" w:hAnsi="Calibri"/>
          <w:b w:val="1"/>
          <w:i w:val="1"/>
          <w:sz w:val="20"/>
          <w:vertAlign w:val="baseline"/>
          <w:rtl w:val="0"/>
        </w:rPr>
        <w:t xml:space="preserve">UNIDAD N° 2 MERCADOS  </w:t>
      </w:r>
      <w:r w:rsidDel="00000000" w:rsidR="00000000" w:rsidRPr="00000000">
        <w:rPr>
          <w:rFonts w:ascii="Calibri" w:cs="Calibri" w:eastAsia="Calibri" w:hAnsi="Calibri"/>
          <w:b w:val="1"/>
          <w:i w:val="1"/>
          <w:sz w:val="20"/>
          <w:u w:val="single"/>
          <w:vertAlign w:val="baseline"/>
          <w:rtl w:val="0"/>
        </w:rPr>
        <w:t xml:space="preserve">10 puntos</w:t>
      </w:r>
      <w:r w:rsidDel="00000000" w:rsidR="00000000" w:rsidRPr="00000000">
        <w:rPr>
          <w:rtl w:val="0"/>
        </w:rPr>
      </w:r>
    </w:p>
    <w:p w:rsidR="00000000" w:rsidDel="00000000" w:rsidP="00000000" w:rsidRDefault="00000000" w:rsidRPr="00000000">
      <w:pPr>
        <w:numPr>
          <w:ilvl w:val="3"/>
          <w:numId w:val="3"/>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Defina demanda del Mercado y grafíquela en función del Precio. </w:t>
      </w:r>
      <w:r w:rsidDel="00000000" w:rsidR="00000000" w:rsidRPr="00000000">
        <w:rPr>
          <w:rtl w:val="0"/>
        </w:rPr>
      </w:r>
    </w:p>
    <w:p w:rsidR="00000000" w:rsidDel="00000000" w:rsidP="00000000" w:rsidRDefault="00000000" w:rsidRPr="00000000">
      <w:pPr>
        <w:numPr>
          <w:ilvl w:val="3"/>
          <w:numId w:val="3"/>
        </w:numPr>
        <w:ind w:left="0" w:firstLine="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El gobierno instrumenta restricciones a la  importación de un determinado producto. Indique y justifique lo sucedido en el mercado interno con el precio y la cantidad de equilibrio de ese producto. </w:t>
      </w:r>
      <w:r w:rsidDel="00000000" w:rsidR="00000000" w:rsidRPr="00000000">
        <w:rPr>
          <w:rtl w:val="0"/>
        </w:rPr>
      </w:r>
    </w:p>
    <w:p w:rsidR="00000000" w:rsidDel="00000000" w:rsidP="00000000" w:rsidRDefault="00000000" w:rsidRPr="00000000">
      <w:pPr>
        <w:ind w:left="709" w:firstLine="0"/>
        <w:contextualSpacing w:val="0"/>
      </w:pPr>
      <w:r w:rsidDel="00000000" w:rsidR="00000000" w:rsidRPr="00000000">
        <w:rPr>
          <w:rtl w:val="0"/>
        </w:rPr>
      </w:r>
    </w:p>
    <w:p w:rsidR="00000000" w:rsidDel="00000000" w:rsidP="00000000" w:rsidRDefault="00000000" w:rsidRPr="00000000">
      <w:pPr>
        <w:numPr>
          <w:ilvl w:val="0"/>
          <w:numId w:val="3"/>
        </w:numPr>
        <w:ind w:left="1440" w:hanging="360"/>
        <w:rPr>
          <w:rFonts w:ascii="Calibri" w:cs="Calibri" w:eastAsia="Calibri" w:hAnsi="Calibri"/>
          <w:i w:val="0"/>
          <w:sz w:val="20"/>
          <w:u w:val="single"/>
        </w:rPr>
      </w:pPr>
      <w:r w:rsidDel="00000000" w:rsidR="00000000" w:rsidRPr="00000000">
        <w:rPr>
          <w:rFonts w:ascii="Calibri" w:cs="Calibri" w:eastAsia="Calibri" w:hAnsi="Calibri"/>
          <w:b w:val="1"/>
          <w:i w:val="1"/>
          <w:sz w:val="20"/>
          <w:vertAlign w:val="baseline"/>
          <w:rtl w:val="0"/>
        </w:rPr>
        <w:t xml:space="preserve">UNIDAD N° 7 CONTABILIDAD  </w:t>
      </w:r>
      <w:r w:rsidDel="00000000" w:rsidR="00000000" w:rsidRPr="00000000">
        <w:rPr>
          <w:rFonts w:ascii="Calibri" w:cs="Calibri" w:eastAsia="Calibri" w:hAnsi="Calibri"/>
          <w:b w:val="1"/>
          <w:i w:val="1"/>
          <w:sz w:val="20"/>
          <w:u w:val="single"/>
          <w:vertAlign w:val="baseline"/>
          <w:rtl w:val="0"/>
        </w:rPr>
        <w:t xml:space="preserve">30 puntos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20"/>
          <w:vertAlign w:val="baseline"/>
          <w:rtl w:val="0"/>
        </w:rPr>
        <w:t xml:space="preserve">Con las partidas de las cuentas que se detallan a continuación:</w:t>
      </w:r>
      <w:r w:rsidDel="00000000" w:rsidR="00000000" w:rsidRPr="00000000">
        <w:rPr>
          <w:rtl w:val="0"/>
        </w:rPr>
      </w:r>
    </w:p>
    <w:p w:rsidR="00000000" w:rsidDel="00000000" w:rsidP="00000000" w:rsidRDefault="00000000" w:rsidRPr="00000000">
      <w:pPr>
        <w:numPr>
          <w:ilvl w:val="3"/>
          <w:numId w:val="3"/>
        </w:numPr>
        <w:ind w:left="0" w:firstLine="0"/>
        <w:rPr>
          <w:rFonts w:ascii="Calibri" w:cs="Calibri" w:eastAsia="Calibri" w:hAnsi="Calibri"/>
          <w:color w:val="000000"/>
          <w:sz w:val="20"/>
        </w:rPr>
      </w:pPr>
      <w:r w:rsidDel="00000000" w:rsidR="00000000" w:rsidRPr="00000000">
        <w:rPr>
          <w:rFonts w:ascii="Calibri" w:cs="Calibri" w:eastAsia="Calibri" w:hAnsi="Calibri"/>
          <w:color w:val="000000"/>
          <w:sz w:val="20"/>
          <w:vertAlign w:val="baseline"/>
          <w:rtl w:val="0"/>
        </w:rPr>
        <w:t xml:space="preserve">Complete el Cuadro de Resultados del período y el Balance General al finalizar el ejercicio contable, utilizando una tasa de impuesto a las ganancias 35%.</w:t>
      </w:r>
      <w:r w:rsidDel="00000000" w:rsidR="00000000" w:rsidRPr="00000000">
        <w:rPr>
          <w:rtl w:val="0"/>
        </w:rPr>
      </w:r>
    </w:p>
    <w:p w:rsidR="00000000" w:rsidDel="00000000" w:rsidP="00000000" w:rsidRDefault="00000000" w:rsidRPr="00000000">
      <w:pPr>
        <w:numPr>
          <w:ilvl w:val="3"/>
          <w:numId w:val="3"/>
        </w:numPr>
        <w:ind w:left="0" w:firstLine="0"/>
        <w:rPr>
          <w:rFonts w:ascii="Calibri" w:cs="Calibri" w:eastAsia="Calibri" w:hAnsi="Calibri"/>
          <w:color w:val="000000"/>
          <w:sz w:val="20"/>
        </w:rPr>
      </w:pPr>
      <w:r w:rsidDel="00000000" w:rsidR="00000000" w:rsidRPr="00000000">
        <w:rPr>
          <w:rFonts w:ascii="Calibri" w:cs="Calibri" w:eastAsia="Calibri" w:hAnsi="Calibri"/>
          <w:color w:val="000000"/>
          <w:sz w:val="20"/>
          <w:vertAlign w:val="baseline"/>
          <w:rtl w:val="0"/>
        </w:rPr>
        <w:t xml:space="preserve">Determine:</w:t>
      </w:r>
      <w:r w:rsidDel="00000000" w:rsidR="00000000" w:rsidRPr="00000000">
        <w:rPr>
          <w:rtl w:val="0"/>
        </w:rPr>
      </w:r>
    </w:p>
    <w:p w:rsidR="00000000" w:rsidDel="00000000" w:rsidP="00000000" w:rsidRDefault="00000000" w:rsidRPr="00000000">
      <w:pPr>
        <w:numPr>
          <w:ilvl w:val="0"/>
          <w:numId w:val="1"/>
        </w:numPr>
        <w:ind w:left="1069" w:hanging="360"/>
        <w:rPr>
          <w:rFonts w:ascii="Calibri" w:cs="Calibri" w:eastAsia="Calibri" w:hAnsi="Calibri"/>
          <w:b w:val="0"/>
          <w:color w:val="000000"/>
          <w:sz w:val="20"/>
        </w:rPr>
      </w:pPr>
      <w:r w:rsidDel="00000000" w:rsidR="00000000" w:rsidRPr="00000000">
        <w:rPr>
          <w:rFonts w:ascii="Calibri" w:cs="Calibri" w:eastAsia="Calibri" w:hAnsi="Calibri"/>
          <w:color w:val="000000"/>
          <w:sz w:val="20"/>
          <w:vertAlign w:val="baseline"/>
          <w:rtl w:val="0"/>
        </w:rPr>
        <w:t xml:space="preserve">El índice que mide el plazo de crédito concedido a los clientes  expresado en días</w:t>
      </w:r>
      <w:r w:rsidDel="00000000" w:rsidR="00000000" w:rsidRPr="00000000">
        <w:rPr>
          <w:rtl w:val="0"/>
        </w:rPr>
      </w:r>
    </w:p>
    <w:p w:rsidR="00000000" w:rsidDel="00000000" w:rsidP="00000000" w:rsidRDefault="00000000" w:rsidRPr="00000000">
      <w:pPr>
        <w:numPr>
          <w:ilvl w:val="0"/>
          <w:numId w:val="1"/>
        </w:numPr>
        <w:ind w:left="1069" w:hanging="360"/>
        <w:rPr>
          <w:rFonts w:ascii="Calibri" w:cs="Calibri" w:eastAsia="Calibri" w:hAnsi="Calibri"/>
          <w:b w:val="0"/>
          <w:color w:val="000000"/>
          <w:sz w:val="20"/>
        </w:rPr>
      </w:pPr>
      <w:r w:rsidDel="00000000" w:rsidR="00000000" w:rsidRPr="00000000">
        <w:rPr>
          <w:rFonts w:ascii="Calibri" w:cs="Calibri" w:eastAsia="Calibri" w:hAnsi="Calibri"/>
          <w:color w:val="000000"/>
          <w:sz w:val="20"/>
          <w:vertAlign w:val="baseline"/>
          <w:rtl w:val="0"/>
        </w:rPr>
        <w:t xml:space="preserve">El índice que mide el margen sobre ventas que obtuvo la empresa.</w:t>
      </w:r>
      <w:r w:rsidDel="00000000" w:rsidR="00000000" w:rsidRPr="00000000">
        <w:rPr>
          <w:rtl w:val="0"/>
        </w:rPr>
      </w:r>
    </w:p>
    <w:p w:rsidR="00000000" w:rsidDel="00000000" w:rsidP="00000000" w:rsidRDefault="00000000" w:rsidRPr="00000000">
      <w:pPr>
        <w:numPr>
          <w:ilvl w:val="0"/>
          <w:numId w:val="1"/>
        </w:numPr>
        <w:ind w:left="1069" w:hanging="360"/>
        <w:rPr>
          <w:rFonts w:ascii="Calibri" w:cs="Calibri" w:eastAsia="Calibri" w:hAnsi="Calibri"/>
          <w:b w:val="0"/>
          <w:color w:val="000000"/>
          <w:sz w:val="20"/>
        </w:rPr>
      </w:pPr>
      <w:r w:rsidDel="00000000" w:rsidR="00000000" w:rsidRPr="00000000">
        <w:rPr>
          <w:rFonts w:ascii="Calibri" w:cs="Calibri" w:eastAsia="Calibri" w:hAnsi="Calibri"/>
          <w:color w:val="000000"/>
          <w:sz w:val="20"/>
          <w:vertAlign w:val="baseline"/>
          <w:rtl w:val="0"/>
        </w:rPr>
        <w:t xml:space="preserve">El índice que mide la  solvencia de corto plazo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20"/>
          <w:vertAlign w:val="baseline"/>
          <w:rtl w:val="0"/>
        </w:rPr>
        <w:t xml:space="preserve">Rubros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20"/>
          <w:vertAlign w:val="baseline"/>
          <w:rtl w:val="0"/>
        </w:rPr>
        <w:t xml:space="preserve">Bienes de Cambio de corto plazo 600.000 $, Bienes de uso 10.000.000 $, Capital social 8.000.000 $, Costo de ventas 1.900.000 $, Créditos a corto plazo 300.000 $, Deudas a corto plazo 200.000 $, Gastos Comercialización Variables 100.000$, Deudas a largo plazo 1.900.000 $, Caja y bancos 300.000 $, Gastos Fijos 400.000$/año, Utilidades de Ejercicio después de impuestos 1.100.000$.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rPr>
          <w:rFonts w:ascii="Times New Roman" w:cs="Times New Roman" w:eastAsia="Times New Roman" w:hAnsi="Times New Roman"/>
          <w:sz w:val="20"/>
        </w:rPr>
      </w:pPr>
      <w:r w:rsidDel="00000000" w:rsidR="00000000" w:rsidRPr="00000000">
        <w:rPr>
          <w:rFonts w:ascii="Calibri" w:cs="Calibri" w:eastAsia="Calibri" w:hAnsi="Calibri"/>
          <w:b w:val="1"/>
          <w:i w:val="1"/>
          <w:sz w:val="20"/>
          <w:vertAlign w:val="baseline"/>
          <w:rtl w:val="0"/>
        </w:rPr>
        <w:t xml:space="preserve">UNIDAD N° 8 COSTOS  </w:t>
      </w:r>
      <w:r w:rsidDel="00000000" w:rsidR="00000000" w:rsidRPr="00000000">
        <w:rPr>
          <w:rFonts w:ascii="Calibri" w:cs="Calibri" w:eastAsia="Calibri" w:hAnsi="Calibri"/>
          <w:b w:val="1"/>
          <w:i w:val="1"/>
          <w:sz w:val="20"/>
          <w:u w:val="single"/>
          <w:vertAlign w:val="baseline"/>
          <w:rtl w:val="0"/>
        </w:rPr>
        <w:t xml:space="preserve">30 puntos</w:t>
      </w:r>
      <w:r w:rsidDel="00000000" w:rsidR="00000000" w:rsidRPr="00000000">
        <w:rPr>
          <w:sz w:val="2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0"/>
          <w:vertAlign w:val="baseline"/>
          <w:rtl w:val="0"/>
        </w:rPr>
        <w:t xml:space="preserve">Una empresa que fabrica un único producto, presenta la siguiente información: Ventas 350.000 unidades, Producción Terminada en el ejercicio 330.000 unidades, Inventario inicial de producción terminada 30.000 unidades (Cu = $/u 97,3), precio unitario $/u 140, gastos  de comercialización variables $7.875.000, gastos fijos totales $3.150.000, contribución marginal de la empresa $6.750.000. Si la empresa lleva sistema de directo, con criterio F.I.F.O (primero ingresado primero salido), para valorizar los inventarios. Se pide determinar con los datos anteriores:</w:t>
      </w:r>
      <w:r w:rsidDel="00000000" w:rsidR="00000000" w:rsidRPr="00000000">
        <w:rPr>
          <w:rtl w:val="0"/>
        </w:rPr>
      </w:r>
    </w:p>
    <w:p w:rsidR="00000000" w:rsidDel="00000000" w:rsidP="00000000" w:rsidRDefault="00000000" w:rsidRPr="00000000">
      <w:pPr>
        <w:numPr>
          <w:ilvl w:val="0"/>
          <w:numId w:val="2"/>
        </w:numPr>
        <w:ind w:left="1069" w:hanging="36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El punto de equilibrio (Qo) en unidades físicas.</w:t>
      </w:r>
      <w:r w:rsidDel="00000000" w:rsidR="00000000" w:rsidRPr="00000000">
        <w:rPr>
          <w:rtl w:val="0"/>
        </w:rPr>
      </w:r>
    </w:p>
    <w:p w:rsidR="00000000" w:rsidDel="00000000" w:rsidP="00000000" w:rsidRDefault="00000000" w:rsidRPr="00000000">
      <w:pPr>
        <w:numPr>
          <w:ilvl w:val="0"/>
          <w:numId w:val="2"/>
        </w:numPr>
        <w:ind w:left="1069" w:hanging="360"/>
        <w:rPr>
          <w:rFonts w:ascii="Calibri" w:cs="Calibri" w:eastAsia="Calibri" w:hAnsi="Calibri"/>
          <w:sz w:val="20"/>
        </w:rPr>
      </w:pPr>
      <w:r w:rsidDel="00000000" w:rsidR="00000000" w:rsidRPr="00000000">
        <w:rPr>
          <w:rFonts w:ascii="Calibri" w:cs="Calibri" w:eastAsia="Calibri" w:hAnsi="Calibri"/>
          <w:sz w:val="20"/>
          <w:vertAlign w:val="baseline"/>
          <w:rtl w:val="0"/>
        </w:rPr>
        <w:t xml:space="preserve">La utilidad neta operativa después de impuestos (Tasa de impuesto a las ganancias es 35%). </w:t>
      </w: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rPr>
          <w:rFonts w:ascii="Calibri" w:cs="Calibri" w:eastAsia="Calibri" w:hAnsi="Calibri"/>
          <w:i w:val="0"/>
          <w:sz w:val="20"/>
        </w:rPr>
      </w:pPr>
      <w:r w:rsidDel="00000000" w:rsidR="00000000" w:rsidRPr="00000000">
        <w:rPr>
          <w:rFonts w:ascii="Calibri" w:cs="Calibri" w:eastAsia="Calibri" w:hAnsi="Calibri"/>
          <w:b w:val="1"/>
          <w:i w:val="1"/>
          <w:sz w:val="20"/>
          <w:vertAlign w:val="baseline"/>
          <w:rtl w:val="0"/>
        </w:rPr>
        <w:t xml:space="preserve">UNIDAD N° 10 DESARROLLO EVALUACIÓN Y SELECCIÓN DE PROYECTOS DE INVERSIÓN </w:t>
      </w:r>
      <w:r w:rsidDel="00000000" w:rsidR="00000000" w:rsidRPr="00000000">
        <w:rPr>
          <w:rFonts w:ascii="Calibri" w:cs="Calibri" w:eastAsia="Calibri" w:hAnsi="Calibri"/>
          <w:b w:val="1"/>
          <w:i w:val="1"/>
          <w:sz w:val="20"/>
          <w:u w:val="single"/>
          <w:vertAlign w:val="baseline"/>
          <w:rtl w:val="0"/>
        </w:rPr>
        <w:t xml:space="preserve">30 puntos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00"/>
          <w:sz w:val="20"/>
          <w:vertAlign w:val="baseline"/>
          <w:rtl w:val="0"/>
        </w:rPr>
        <w:t xml:space="preserve">Considerando una tasa de oportunidad  para el inversor del 15 %, se tiene la posibilidad de llevar a cabo los proyectos mutuamente excluyentes A o B, cuya inversión y flujo neto de caja son los que se muestran a continuación.</w:t>
      </w:r>
      <w:r w:rsidDel="00000000" w:rsidR="00000000" w:rsidRPr="00000000">
        <w:rPr>
          <w:rtl w:val="0"/>
        </w:rPr>
      </w:r>
    </w:p>
    <w:tbl>
      <w:tblPr>
        <w:tblStyle w:val="Table2"/>
        <w:bidi w:val="0"/>
        <w:tblW w:w="10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1800"/>
        <w:gridCol w:w="1800"/>
        <w:gridCol w:w="1800"/>
        <w:gridCol w:w="1800"/>
        <w:gridCol w:w="1800"/>
        <w:tblGridChange w:id="0">
          <w:tblGrid>
            <w:gridCol w:w="1800"/>
            <w:gridCol w:w="1800"/>
            <w:gridCol w:w="1800"/>
            <w:gridCol w:w="1800"/>
            <w:gridCol w:w="1800"/>
            <w:gridCol w:w="1800"/>
          </w:tblGrid>
        </w:tblGridChange>
      </w:tblGrid>
      <w:tr>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Proyecto A</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4</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Flujo de fondos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- 7.000.000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4.000.000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2.000.000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2.000.000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1.800.000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08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1800"/>
        <w:gridCol w:w="1800"/>
        <w:gridCol w:w="1800"/>
        <w:gridCol w:w="1800"/>
        <w:gridCol w:w="1800"/>
        <w:tblGridChange w:id="0">
          <w:tblGrid>
            <w:gridCol w:w="1800"/>
            <w:gridCol w:w="1800"/>
            <w:gridCol w:w="1800"/>
            <w:gridCol w:w="1800"/>
            <w:gridCol w:w="1800"/>
            <w:gridCol w:w="1800"/>
          </w:tblGrid>
        </w:tblGridChange>
      </w:tblGrid>
      <w:tr>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Proyecto B</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1</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2</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Año 4</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Flujo de fondos</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- 5.000.000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2.000.000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2.000.000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2.000.000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color w:val="000000"/>
                <w:sz w:val="20"/>
                <w:vertAlign w:val="baseline"/>
                <w:rtl w:val="0"/>
              </w:rPr>
              <w:t xml:space="preserve">1.223.000</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color w:val="000000"/>
          <w:sz w:val="20"/>
          <w:vertAlign w:val="baseline"/>
          <w:rtl w:val="0"/>
        </w:rPr>
        <w:t xml:space="preserve">Defina y determine para cada proyecto: a) El período de repago simple (sin actualización de fondos). b) El VAN (Valor Actual Neto) en el instante 0(cero). c) La TIR (Tasa Interna de retorno) aproximada. d) Seleccione el proyecto más conveniente.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40" w:w="11907"/>
      <w:pgMar w:bottom="360" w:top="720" w:left="680"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09" w:lineRule="auto"/>
      <w:ind w:left="720" w:firstLine="0"/>
      <w:contextualSpacing w:val="0"/>
    </w:pP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6985</wp:posOffset>
          </wp:positionV>
          <wp:extent cx="2295525" cy="457200"/>
          <wp:effectExtent b="0" l="0" r="0" t="0"/>
          <wp:wrapTopAndBottom distB="0" dist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2295525" cy="457200"/>
                  </a:xfrm>
                  <a:prstGeom prst="rect"/>
                  <a:ln/>
                </pic:spPr>
              </pic:pic>
            </a:graphicData>
          </a:graphic>
        </wp:anchor>
      </w:drawing>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vertAlign w:val="baseline"/>
        <w:rtl w:val="0"/>
      </w:rPr>
      <w:t xml:space="preserve">EXAMEN FINAL DE ECONOMÍA CÓDIGO 95 - 0309 </w:t>
      <w:tab/>
      <w:tab/>
      <w:tab/>
      <w:t xml:space="preserve">FECHA: 16 de DICIEMBRE de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vertAlign w:val="baseline"/>
        <w:rtl w:val="0"/>
      </w:rPr>
      <w:t xml:space="preserve">ALUMNA/O......................................................................................................LEGAJO Nº.............................................................</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69" w:firstLine="709"/>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1069" w:firstLine="709"/>
      </w:pPr>
      <w:rPr>
        <w:b w:val="0"/>
        <w:vertAlign w:val="baseline"/>
      </w:rPr>
    </w:lvl>
    <w:lvl w:ilvl="1">
      <w:start w:val="1"/>
      <w:numFmt w:val="upperLetter"/>
      <w:lvlText w:val="%2."/>
      <w:lvlJc w:val="left"/>
      <w:pPr>
        <w:ind w:left="2149" w:firstLine="1789"/>
      </w:pPr>
      <w:rPr>
        <w:b w:val="1"/>
        <w:vertAlign w:val="baseline"/>
      </w:rPr>
    </w:lvl>
    <w:lvl w:ilvl="2">
      <w:start w:val="1"/>
      <w:numFmt w:val="lowerRoman"/>
      <w:lvlText w:val="%3."/>
      <w:lvlJc w:val="right"/>
      <w:pPr>
        <w:ind w:left="2869" w:firstLine="2689"/>
      </w:pPr>
      <w:rPr>
        <w:vertAlign w:val="baseline"/>
      </w:rPr>
    </w:lvl>
    <w:lvl w:ilvl="3">
      <w:start w:val="1"/>
      <w:numFmt w:val="decimal"/>
      <w:lvlText w:val="%4."/>
      <w:lvlJc w:val="left"/>
      <w:pPr>
        <w:ind w:left="3589" w:firstLine="3229"/>
      </w:pPr>
      <w:rPr>
        <w:vertAlign w:val="baseline"/>
      </w:rPr>
    </w:lvl>
    <w:lvl w:ilvl="4">
      <w:start w:val="1"/>
      <w:numFmt w:val="lowerLetter"/>
      <w:lvlText w:val="%5."/>
      <w:lvlJc w:val="left"/>
      <w:pPr>
        <w:ind w:left="4309" w:firstLine="3949"/>
      </w:pPr>
      <w:rPr>
        <w:vertAlign w:val="baseline"/>
      </w:rPr>
    </w:lvl>
    <w:lvl w:ilvl="5">
      <w:start w:val="1"/>
      <w:numFmt w:val="lowerRoman"/>
      <w:lvlText w:val="%6."/>
      <w:lvlJc w:val="right"/>
      <w:pPr>
        <w:ind w:left="5029" w:firstLine="4849"/>
      </w:pPr>
      <w:rPr>
        <w:vertAlign w:val="baseline"/>
      </w:rPr>
    </w:lvl>
    <w:lvl w:ilvl="6">
      <w:start w:val="1"/>
      <w:numFmt w:val="decimal"/>
      <w:lvlText w:val="%7."/>
      <w:lvlJc w:val="left"/>
      <w:pPr>
        <w:ind w:left="5749" w:firstLine="5389"/>
      </w:pPr>
      <w:rPr>
        <w:vertAlign w:val="baseline"/>
      </w:rPr>
    </w:lvl>
    <w:lvl w:ilvl="7">
      <w:start w:val="1"/>
      <w:numFmt w:val="lowerLetter"/>
      <w:lvlText w:val="%8."/>
      <w:lvlJc w:val="left"/>
      <w:pPr>
        <w:ind w:left="6469" w:firstLine="6109"/>
      </w:pPr>
      <w:rPr>
        <w:vertAlign w:val="baseline"/>
      </w:rPr>
    </w:lvl>
    <w:lvl w:ilvl="8">
      <w:start w:val="1"/>
      <w:numFmt w:val="lowerRoman"/>
      <w:lvlText w:val="%9."/>
      <w:lvlJc w:val="right"/>
      <w:pPr>
        <w:ind w:left="7189" w:firstLine="7009"/>
      </w:pPr>
      <w:rPr>
        <w:vertAlign w:val="baseline"/>
      </w:rPr>
    </w:lvl>
  </w:abstractNum>
  <w:abstractNum w:abstractNumId="3">
    <w:lvl w:ilvl="0">
      <w:start w:val="1"/>
      <w:numFmt w:val="upperLetter"/>
      <w:lvlText w:val="%1."/>
      <w:lvlJc w:val="left"/>
      <w:pPr>
        <w:ind w:left="1440" w:firstLine="1080"/>
      </w:pPr>
      <w:rPr>
        <w:b w:val="1"/>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b w:val="0"/>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