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A6B7B"/>
          <w:sz w:val="22"/>
          <w:szCs w:val="22"/>
        </w:rPr>
        <w:t xml:space="preserve">Month-End Variance Copilot</w:t>
      </w:r>
    </w:p>
    <w:p>
      <w:pPr>
        <w:pBdr>
          <w:bottom w:val="single" w:color="1F3A5F" w:sz="12" w:space="6"/>
        </w:pBdr>
        <w:spacing w:after="160"/>
      </w:pPr>
      <w:r>
        <w:rPr>
          <w:b/>
          <w:bCs/>
          <w:color w:val="1F3A5F"/>
          <w:sz w:val="44"/>
          <w:szCs w:val="44"/>
        </w:rPr>
        <w:t xml:space="preserve">Closing Report and Lessons Learned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VC-08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Process group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Closing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0.1 (template, completed at close)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October 2026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Asim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8ED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Sponsor</w:t>
            </w:r>
          </w:p>
        </w:tc>
        <w:tc>
          <w:tcPr>
            <w:tcW w:type="dxa" w:w="69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 of Frontend Cluster Finance (persona S01)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5A6B7B"/>
          <w:sz w:val="18"/>
          <w:szCs w:val="18"/>
        </w:rPr>
        <w:t xml:space="preserve">Independent portfolio project. All data is synthetic and all stakeholders are assumed role personas. This is not a document of any real company and contains no internal or confidential information.</w:t>
      </w:r>
    </w:p>
    <w:p>
      <w:pPr>
        <w:pStyle w:val="Heading1"/>
        <w:spacing w:after="120" w:before="280"/>
      </w:pPr>
      <w:r>
        <w:t xml:space="preserve">1. Purpose</w:t>
      </w:r>
    </w:p>
    <w:p>
      <w:pPr>
        <w:spacing w:after="120"/>
      </w:pPr>
      <w:r>
        <w:t xml:space="preserve">This report closes the project. It records what was delivered against the charter, the benefits, the lessons learned and what remains open. It is a template at this point and is completed at milestone M6.</w:t>
      </w:r>
    </w:p>
    <w:p>
      <w:pPr>
        <w:pStyle w:val="Heading1"/>
        <w:spacing w:after="120" w:before="280"/>
      </w:pPr>
      <w:r>
        <w:t xml:space="preserve">2. Result against success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855"/>
        <w:gridCol w:w="1734"/>
        <w:gridCol w:w="2313"/>
        <w:gridCol w:w="965"/>
      </w:tblGrid>
      <w:tr>
        <w:trPr>
          <w:cantSplit/>
          <w:tblHeader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SC-1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Rows mapped to group structure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SC-2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 to source totals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Below 0.01%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SC-3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Planted data issues detected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of 2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SC-4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Planted business events flagged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of 3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SC-5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Commentary figures traceable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SC-6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End-to-end run time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Under 2 minutes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SC-7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passing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SC-8</w:t>
            </w:r>
          </w:p>
        </w:tc>
        <w:tc>
          <w:tcPr>
            <w:tcW w:type="dxa" w:w="3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case delivered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page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3. Requirements delivered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156"/>
        <w:gridCol w:w="1156"/>
        <w:gridCol w:w="1156"/>
        <w:gridCol w:w="4243"/>
      </w:tblGrid>
      <w:tr>
        <w:trPr>
          <w:cantSplit/>
          <w:tblHeader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Removed</w:t>
            </w:r>
          </w:p>
        </w:tc>
        <w:tc>
          <w:tcPr>
            <w:tcW w:type="dxa" w:w="42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2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2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Could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2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Schedule performance</w:t>
      </w:r>
    </w:p>
    <w:p>
      <w:pPr>
        <w:spacing w:after="120"/>
      </w:pPr>
      <w:r>
        <w:t xml:space="preserve">To be completed: planned versus actual time for each milestone, taken from document 07.</w:t>
      </w:r>
    </w:p>
    <w:p>
      <w:pPr>
        <w:pStyle w:val="Heading1"/>
        <w:spacing w:after="120" w:before="280"/>
      </w:pPr>
      <w:r>
        <w:t xml:space="preserve">5. Benefits</w:t>
      </w:r>
    </w:p>
    <w:p>
      <w:pPr>
        <w:spacing w:after="120"/>
      </w:pPr>
      <w:r>
        <w:t xml:space="preserve">To be completed from the business case. State every figure as an estimate and list the assumption behind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224"/>
        <w:gridCol w:w="1297"/>
        <w:gridCol w:w="2038"/>
        <w:gridCol w:w="1855"/>
      </w:tblGrid>
      <w:tr>
        <w:trPr>
          <w:cantSplit/>
          <w:tblHeader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2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20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validate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 manual harmonisation</w:t>
            </w:r>
          </w:p>
        </w:tc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Hours per close</w:t>
            </w:r>
          </w:p>
        </w:tc>
        <w:tc>
          <w:tcPr>
            <w:tcW w:type="dxa" w:w="12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Faster commentary</w:t>
            </w:r>
          </w:p>
        </w:tc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Hours per close</w:t>
            </w:r>
          </w:p>
        </w:tc>
        <w:tc>
          <w:tcPr>
            <w:tcW w:type="dxa" w:w="12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Better comparability</w:t>
            </w:r>
          </w:p>
        </w:tc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Sites on one account structure</w:t>
            </w:r>
          </w:p>
        </w:tc>
        <w:tc>
          <w:tcPr>
            <w:tcW w:type="dxa" w:w="12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Better traceability</w:t>
            </w:r>
          </w:p>
        </w:tc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Share of reported figures with lineage</w:t>
            </w:r>
          </w:p>
        </w:tc>
        <w:tc>
          <w:tcPr>
            <w:tcW w:type="dxa" w:w="12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6. Lessons learned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went well</w:t>
            </w: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change next time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Planning and scope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Working with the AI coding assistant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and pipeline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commentary and controls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Stakeholder view</w:t>
            </w:r>
          </w:p>
        </w:tc>
        <w:tc>
          <w:tcPr>
            <w:tcW w:type="dxa" w:w="36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6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7. Open items and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be completed. Candidates: AI-suggested account mapping, move to a central data platform, extension to investment tracking.</w:t>
      </w:r>
    </w:p>
    <w:p>
      <w:pPr>
        <w:pStyle w:val="Heading1"/>
        <w:spacing w:after="120" w:before="280"/>
      </w:pPr>
      <w:r>
        <w:t xml:space="preserve">8. Handover and formal close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5"/>
        <w:gridCol w:w="4015"/>
        <w:gridCol w:w="1608"/>
      </w:tblGrid>
      <w:tr>
        <w:trPr>
          <w:cantSplit/>
          <w:tblHeader/>
        </w:trPr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code, tagged version</w:t>
            </w:r>
          </w:p>
        </w:tc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 repository</w:t>
            </w:r>
          </w:p>
        </w:tc>
        <w:tc>
          <w:tcPr>
            <w:tcW w:type="dxa" w:w="16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documents 01 to 08</w:t>
            </w:r>
          </w:p>
        </w:tc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docs/</w:t>
            </w:r>
          </w:p>
        </w:tc>
        <w:tc>
          <w:tcPr>
            <w:tcW w:type="dxa" w:w="16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README and demo script</w:t>
            </w:r>
          </w:p>
        </w:tc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Repository root</w:t>
            </w:r>
          </w:p>
        </w:tc>
        <w:tc>
          <w:tcPr>
            <w:tcW w:type="dxa" w:w="16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Sponsor acceptance (simulated)</w:t>
            </w:r>
          </w:p>
        </w:tc>
        <w:tc>
          <w:tcPr>
            <w:tcW w:type="dxa" w:w="40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16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B"/>
        <w:sz w:val="16"/>
        <w:szCs w:val="16"/>
      </w:rPr>
      <w:t xml:space="preserve">VC-08  Closing Report and Lessons Learned  |  Synthetic data, portfolio project  |  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3347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Report and Lessons Learned</dc:title>
  <dc:creator>Asim</dc:creator>
  <cp:lastModifiedBy>Un-named</cp:lastModifiedBy>
  <cp:revision>1</cp:revision>
  <dcterms:created xsi:type="dcterms:W3CDTF">2026-10-10T11:29:59.982Z</dcterms:created>
  <dcterms:modified xsi:type="dcterms:W3CDTF">2026-10-10T11:29:59.982Z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