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A5F"/>
          <w:sz w:val="34"/>
          <w:szCs w:val="34"/>
        </w:rPr>
        <w:t xml:space="preserve">MINI-PROJECT REPORT</w:t>
      </w:r>
    </w:p>
    <w:p>
      <w:pPr>
        <w:spacing w:after="40"/>
        <w:jc w:val="center"/>
      </w:pPr>
      <w:r>
        <w:rPr>
          <w:rFonts w:ascii="Calibri" w:cs="Calibri" w:eastAsia="Calibri" w:hAnsi="Calibri"/>
          <w:b/>
          <w:bCs/>
          <w:sz w:val="26"/>
          <w:szCs w:val="26"/>
        </w:rPr>
        <w:t xml:space="preserve">Design &amp; Structural Simulation of an Automotive Lower Control Arm</w:t>
      </w:r>
    </w:p>
    <w:p>
      <w:pPr>
        <w:spacing w:after="160"/>
        <w:jc w:val="center"/>
      </w:pPr>
      <w:r>
        <w:rPr>
          <w:rFonts w:ascii="Calibri" w:cs="Calibri" w:eastAsia="Calibri" w:hAnsi="Calibri"/>
          <w:i/>
          <w:iCs/>
          <w:color w:val="666666"/>
          <w:sz w:val="19"/>
          <w:szCs w:val="19"/>
        </w:rPr>
        <w:t xml:space="preserve">Specialization: Automotive  |  Deliverables: CAD model + simulation results + report</w:t>
      </w:r>
    </w:p>
    <w:p>
      <w:pPr>
        <w:pBdr>
          <w:bottom w:val="single" w:color="1F3A5F" w:sz="8"/>
        </w:pBdr>
        <w:spacing w:after="120"/>
      </w:pPr>
    </w:p>
    <w:p>
      <w:pPr>
        <w:pStyle w:val="Heading1"/>
        <w:spacing w:after="100" w:before="220"/>
      </w:pPr>
      <w:r>
        <w:rPr>
          <w:rFonts w:ascii="Calibri" w:cs="Calibri" w:eastAsia="Calibri" w:hAnsi="Calibri"/>
          <w:b/>
          <w:bCs/>
          <w:color w:val="1F3A5F"/>
        </w:rPr>
        <w:t xml:space="preserve">1. Introduction &amp; Objective</w:t>
      </w:r>
    </w:p>
    <w:p>
      <w:pPr>
        <w:spacing w:after="120" w:line="276"/>
      </w:pPr>
      <w:r>
        <w:rPr>
          <w:rFonts w:ascii="Calibri" w:cs="Calibri" w:eastAsia="Calibri" w:hAnsi="Calibri"/>
          <w:sz w:val="21"/>
          <w:szCs w:val="21"/>
        </w:rPr>
        <w:t xml:space="preserve">The lower control arm (also called an A-arm or wishbone) is a primary link in an independent front suspension. It locates the wheel hub relative to the chassis while transmitting vertical, longitudinal (braking/acceleration) and lateral (cornering) loads between the road and the vehicle body. Because it is a safety-critical load path, it must not yield or fail under the most severe operating loads.</w:t>
      </w:r>
    </w:p>
    <w:p>
      <w:pPr>
        <w:spacing w:after="120" w:line="276"/>
      </w:pPr>
      <w:r>
        <w:rPr>
          <w:rFonts w:ascii="Calibri" w:cs="Calibri" w:eastAsia="Calibri" w:hAnsi="Calibri"/>
          <w:sz w:val="21"/>
          <w:szCs w:val="21"/>
        </w:rPr>
        <w:t xml:space="preserve">The objective of this mini-project is to (i) create a parametric 3D CAD model of a lower control arm, (ii) analyse it under realistic driving load cases using a finite-element beam model with classical combined-stress theory, and (iii) verify — and if necessary improve — the design so that it meets a target factor of safety of 1.5 against yielding.</w:t>
      </w:r>
    </w:p>
    <w:p>
      <w:pPr>
        <w:pStyle w:val="Heading1"/>
        <w:spacing w:after="100" w:before="220"/>
      </w:pPr>
      <w:r>
        <w:rPr>
          <w:rFonts w:ascii="Calibri" w:cs="Calibri" w:eastAsia="Calibri" w:hAnsi="Calibri"/>
          <w:b/>
          <w:bCs/>
          <w:color w:val="1F3A5F"/>
        </w:rPr>
        <w:t xml:space="preserve">2. CAD Model</w:t>
      </w:r>
    </w:p>
    <w:p>
      <w:pPr>
        <w:spacing w:after="120" w:line="276"/>
      </w:pPr>
      <w:r>
        <w:rPr>
          <w:rFonts w:ascii="Calibri" w:cs="Calibri" w:eastAsia="Calibri" w:hAnsi="Calibri"/>
          <w:sz w:val="21"/>
          <w:szCs w:val="21"/>
        </w:rPr>
        <w:t xml:space="preserve">The arm was modelled parametrically in CadQuery and exported to STEP (for CAD interchange) and STL (for meshing/printing). It uses the classic A-arm topology: two coaxial inboard bushings that pivot on the chassis mount, and a single outboard ball-joint boss at the apex that connects to the steering knuckle. Two tapered legs form the load-carrying structure.</w:t>
      </w:r>
    </w:p>
    <w:p>
      <w:pPr>
        <w:spacing w:after="40" w:before="8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133600"/>
                    </a:xfrm>
                    <a:prstGeom prst="rect">
                      <a:avLst/>
                    </a:prstGeom>
                  </pic:spPr>
                </pic:pic>
              </a:graphicData>
            </a:graphic>
          </wp:inline>
        </w:drawing>
      </w:r>
    </w:p>
    <w:p>
      <w:pPr>
        <w:spacing w:after="160"/>
        <w:jc w:val="center"/>
      </w:pPr>
      <w:r>
        <w:rPr>
          <w:rFonts w:ascii="Calibri" w:cs="Calibri" w:eastAsia="Calibri" w:hAnsi="Calibri"/>
          <w:i/>
          <w:iCs/>
          <w:color w:val="666666"/>
          <w:sz w:val="18"/>
          <w:szCs w:val="18"/>
        </w:rPr>
        <w:t xml:space="preserve">Figure 1 — Isometric and plan views of the lower control arm CAD model.</w:t>
      </w:r>
    </w:p>
    <w:p>
      <w:pPr>
        <w:spacing w:after="60" w:line="276"/>
      </w:pPr>
      <w:r>
        <w:rPr>
          <w:rFonts w:ascii="Calibri" w:cs="Calibri" w:eastAsia="Calibri" w:hAnsi="Calibri"/>
          <w:sz w:val="21"/>
          <w:szCs w:val="21"/>
        </w:rPr>
        <w:t xml:space="preserve">Overall envelope and mass properties of the final design:</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4680"/>
        <w:gridCol w:w="4680"/>
      </w:tblGrid>
      <w:tr>
        <w:trPr>
          <w:tblHeader/>
        </w:trPr>
        <w:tc>
          <w:tcPr>
            <w:tcW w:type="dxa" w:w="4680"/>
            <w:shd w:fill="1F3A5F" w:color="auto" w:val="clear"/>
            <w:tcMar>
              <w:top w:type="dxa" w:w="40"/>
              <w:left w:type="dxa" w:w="90"/>
              <w:bottom w:type="dxa" w:w="40"/>
              <w:right w:type="dxa" w:w="90"/>
            </w:tcMar>
          </w:tcPr>
          <w:p>
            <w:pPr>
              <w:jc w:val="left"/>
            </w:pPr>
            <w:r>
              <w:rPr>
                <w:rFonts w:ascii="Calibri" w:cs="Calibri" w:eastAsia="Calibri" w:hAnsi="Calibri"/>
                <w:b/>
                <w:bCs/>
                <w:color w:val="FFFFFF"/>
                <w:sz w:val="19"/>
                <w:szCs w:val="19"/>
              </w:rPr>
              <w:t xml:space="preserve">Property</w:t>
            </w:r>
          </w:p>
        </w:tc>
        <w:tc>
          <w:tcPr>
            <w:tcW w:type="dxa" w:w="4680"/>
            <w:shd w:fill="1F3A5F" w:color="auto" w:val="clear"/>
            <w:tcMar>
              <w:top w:type="dxa" w:w="40"/>
              <w:left w:type="dxa" w:w="90"/>
              <w:bottom w:type="dxa" w:w="40"/>
              <w:right w:type="dxa" w:w="90"/>
            </w:tcMar>
          </w:tcPr>
          <w:p>
            <w:pPr>
              <w:jc w:val="center"/>
            </w:pPr>
            <w:r>
              <w:rPr>
                <w:rFonts w:ascii="Calibri" w:cs="Calibri" w:eastAsia="Calibri" w:hAnsi="Calibri"/>
                <w:b/>
                <w:bCs/>
                <w:color w:val="FFFFFF"/>
                <w:sz w:val="19"/>
                <w:szCs w:val="19"/>
              </w:rPr>
              <w:t xml:space="preserve">Value</w:t>
            </w:r>
          </w:p>
        </w:tc>
      </w:tr>
      <w:tr>
        <w:tc>
          <w:tcPr>
            <w:tcW w:type="dxa" w:w="4680"/>
            <w:tcMar>
              <w:top w:type="dxa" w:w="40"/>
              <w:left w:type="dxa" w:w="90"/>
              <w:bottom w:type="dxa" w:w="40"/>
              <w:right w:type="dxa" w:w="90"/>
            </w:tcMar>
          </w:tcPr>
          <w:p>
            <w:pPr>
              <w:jc w:val="left"/>
            </w:pPr>
            <w:r>
              <w:rPr>
                <w:rFonts w:ascii="Calibri" w:cs="Calibri" w:eastAsia="Calibri" w:hAnsi="Calibri"/>
                <w:sz w:val="19"/>
                <w:szCs w:val="19"/>
              </w:rPr>
              <w:t xml:space="preserve">Envelope (X x Y x Z)</w:t>
            </w:r>
          </w:p>
        </w:tc>
        <w:tc>
          <w:tcPr>
            <w:tcW w:type="dxa" w:w="4680"/>
            <w:tcMar>
              <w:top w:type="dxa" w:w="40"/>
              <w:left w:type="dxa" w:w="90"/>
              <w:bottom w:type="dxa" w:w="40"/>
              <w:right w:type="dxa" w:w="90"/>
            </w:tcMar>
          </w:tcPr>
          <w:p>
            <w:pPr>
              <w:jc w:val="center"/>
            </w:pPr>
            <w:r>
              <w:rPr>
                <w:rFonts w:ascii="Calibri" w:cs="Calibri" w:eastAsia="Calibri" w:hAnsi="Calibri"/>
                <w:sz w:val="19"/>
                <w:szCs w:val="19"/>
              </w:rPr>
              <w:t xml:space="preserve">236 x 360 x 34 mm</w:t>
            </w:r>
          </w:p>
        </w:tc>
      </w:tr>
      <w:tr>
        <w:tc>
          <w:tcPr>
            <w:tcW w:type="dxa" w:w="4680"/>
            <w:shd w:fill="EEF2F7" w:color="auto" w:val="clear"/>
            <w:tcMar>
              <w:top w:type="dxa" w:w="40"/>
              <w:left w:type="dxa" w:w="90"/>
              <w:bottom w:type="dxa" w:w="40"/>
              <w:right w:type="dxa" w:w="90"/>
            </w:tcMar>
          </w:tcPr>
          <w:p>
            <w:pPr>
              <w:jc w:val="left"/>
            </w:pPr>
            <w:r>
              <w:rPr>
                <w:rFonts w:ascii="Calibri" w:cs="Calibri" w:eastAsia="Calibri" w:hAnsi="Calibri"/>
                <w:sz w:val="19"/>
                <w:szCs w:val="19"/>
              </w:rPr>
              <w:t xml:space="preserve">Material volume</w:t>
            </w:r>
          </w:p>
        </w:tc>
        <w:tc>
          <w:tcPr>
            <w:tcW w:type="dxa" w:w="4680"/>
            <w:shd w:fill="EEF2F7" w:color="auto" w:val="clear"/>
            <w:tcMar>
              <w:top w:type="dxa" w:w="40"/>
              <w:left w:type="dxa" w:w="90"/>
              <w:bottom w:type="dxa" w:w="40"/>
              <w:right w:type="dxa" w:w="90"/>
            </w:tcMar>
          </w:tcPr>
          <w:p>
            <w:pPr>
              <w:jc w:val="center"/>
            </w:pPr>
            <w:r>
              <w:rPr>
                <w:rFonts w:ascii="Calibri" w:cs="Calibri" w:eastAsia="Calibri" w:hAnsi="Calibri"/>
                <w:sz w:val="19"/>
                <w:szCs w:val="19"/>
              </w:rPr>
              <w:t xml:space="preserve">1207 cm3</w:t>
            </w:r>
          </w:p>
        </w:tc>
      </w:tr>
      <w:tr>
        <w:tc>
          <w:tcPr>
            <w:tcW w:type="dxa" w:w="4680"/>
            <w:tcMar>
              <w:top w:type="dxa" w:w="40"/>
              <w:left w:type="dxa" w:w="90"/>
              <w:bottom w:type="dxa" w:w="40"/>
              <w:right w:type="dxa" w:w="90"/>
            </w:tcMar>
          </w:tcPr>
          <w:p>
            <w:pPr>
              <w:jc w:val="left"/>
            </w:pPr>
            <w:r>
              <w:rPr>
                <w:rFonts w:ascii="Calibri" w:cs="Calibri" w:eastAsia="Calibri" w:hAnsi="Calibri"/>
                <w:sz w:val="19"/>
                <w:szCs w:val="19"/>
              </w:rPr>
              <w:t xml:space="preserve">Mass (forged steel)</w:t>
            </w:r>
          </w:p>
        </w:tc>
        <w:tc>
          <w:tcPr>
            <w:tcW w:type="dxa" w:w="4680"/>
            <w:tcMar>
              <w:top w:type="dxa" w:w="40"/>
              <w:left w:type="dxa" w:w="90"/>
              <w:bottom w:type="dxa" w:w="40"/>
              <w:right w:type="dxa" w:w="90"/>
            </w:tcMar>
          </w:tcPr>
          <w:p>
            <w:pPr>
              <w:jc w:val="center"/>
            </w:pPr>
            <w:r>
              <w:rPr>
                <w:rFonts w:ascii="Calibri" w:cs="Calibri" w:eastAsia="Calibri" w:hAnsi="Calibri"/>
                <w:sz w:val="19"/>
                <w:szCs w:val="19"/>
              </w:rPr>
              <w:t xml:space="preserve">9.48 kg</w:t>
            </w:r>
          </w:p>
        </w:tc>
      </w:tr>
      <w:tr>
        <w:tc>
          <w:tcPr>
            <w:tcW w:type="dxa" w:w="4680"/>
            <w:shd w:fill="EEF2F7" w:color="auto" w:val="clear"/>
            <w:tcMar>
              <w:top w:type="dxa" w:w="40"/>
              <w:left w:type="dxa" w:w="90"/>
              <w:bottom w:type="dxa" w:w="40"/>
              <w:right w:type="dxa" w:w="90"/>
            </w:tcMar>
          </w:tcPr>
          <w:p>
            <w:pPr>
              <w:jc w:val="left"/>
            </w:pPr>
            <w:r>
              <w:rPr>
                <w:rFonts w:ascii="Calibri" w:cs="Calibri" w:eastAsia="Calibri" w:hAnsi="Calibri"/>
                <w:sz w:val="19"/>
                <w:szCs w:val="19"/>
              </w:rPr>
              <w:t xml:space="preserve">Bushing bore / ball-joint bore</w:t>
            </w:r>
          </w:p>
        </w:tc>
        <w:tc>
          <w:tcPr>
            <w:tcW w:type="dxa" w:w="4680"/>
            <w:shd w:fill="EEF2F7" w:color="auto" w:val="clear"/>
            <w:tcMar>
              <w:top w:type="dxa" w:w="40"/>
              <w:left w:type="dxa" w:w="90"/>
              <w:bottom w:type="dxa" w:w="40"/>
              <w:right w:type="dxa" w:w="90"/>
            </w:tcMar>
          </w:tcPr>
          <w:p>
            <w:pPr>
              <w:jc w:val="center"/>
            </w:pPr>
            <w:r>
              <w:rPr>
                <w:rFonts w:ascii="Calibri" w:cs="Calibri" w:eastAsia="Calibri" w:hAnsi="Calibri"/>
                <w:sz w:val="19"/>
                <w:szCs w:val="19"/>
              </w:rPr>
              <w:t xml:space="preserve">16 mm / 22 mm</w:t>
            </w:r>
          </w:p>
        </w:tc>
      </w:tr>
      <w:tr>
        <w:tc>
          <w:tcPr>
            <w:tcW w:type="dxa" w:w="4680"/>
            <w:tcMar>
              <w:top w:type="dxa" w:w="40"/>
              <w:left w:type="dxa" w:w="90"/>
              <w:bottom w:type="dxa" w:w="40"/>
              <w:right w:type="dxa" w:w="90"/>
            </w:tcMar>
          </w:tcPr>
          <w:p>
            <w:pPr>
              <w:jc w:val="left"/>
            </w:pPr>
            <w:r>
              <w:rPr>
                <w:rFonts w:ascii="Calibri" w:cs="Calibri" w:eastAsia="Calibri" w:hAnsi="Calibri"/>
                <w:sz w:val="19"/>
                <w:szCs w:val="19"/>
              </w:rPr>
              <w:t xml:space="preserve">Leg cross-section (final)</w:t>
            </w:r>
          </w:p>
        </w:tc>
        <w:tc>
          <w:tcPr>
            <w:tcW w:type="dxa" w:w="4680"/>
            <w:tcMar>
              <w:top w:type="dxa" w:w="40"/>
              <w:left w:type="dxa" w:w="90"/>
              <w:bottom w:type="dxa" w:w="40"/>
              <w:right w:type="dxa" w:w="90"/>
            </w:tcMar>
          </w:tcPr>
          <w:p>
            <w:pPr>
              <w:jc w:val="center"/>
            </w:pPr>
            <w:r>
              <w:rPr>
                <w:rFonts w:ascii="Calibri" w:cs="Calibri" w:eastAsia="Calibri" w:hAnsi="Calibri"/>
                <w:sz w:val="19"/>
                <w:szCs w:val="19"/>
              </w:rPr>
              <w:t xml:space="preserve">58 x 32 mm</w:t>
            </w:r>
          </w:p>
        </w:tc>
      </w:tr>
    </w:tbl>
    <w:p>
      <w:pPr>
        <w:pStyle w:val="Heading1"/>
        <w:spacing w:after="100" w:before="220"/>
      </w:pPr>
      <w:r>
        <w:rPr>
          <w:rFonts w:ascii="Calibri" w:cs="Calibri" w:eastAsia="Calibri" w:hAnsi="Calibri"/>
          <w:b/>
          <w:bCs/>
          <w:color w:val="1F3A5F"/>
        </w:rPr>
        <w:t xml:space="preserve">3. Material Selection</w:t>
      </w:r>
    </w:p>
    <w:p>
      <w:pPr>
        <w:spacing w:after="120" w:line="276"/>
      </w:pPr>
      <w:r>
        <w:rPr>
          <w:rFonts w:ascii="Calibri" w:cs="Calibri" w:eastAsia="Calibri" w:hAnsi="Calibri"/>
          <w:sz w:val="21"/>
          <w:szCs w:val="21"/>
        </w:rPr>
        <w:t xml:space="preserve">Forged steel AISI 1045 (normalized) was selected — a common, cost-effective choice for high-volume suspension components, offering good strength and fatigue performance. Key properties used in the analysis: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4160"/>
        <w:gridCol w:w="2200"/>
        <w:gridCol w:w="3000"/>
      </w:tblGrid>
      <w:tr>
        <w:trPr>
          <w:tblHeader/>
        </w:trPr>
        <w:tc>
          <w:tcPr>
            <w:tcW w:type="dxa" w:w="4160"/>
            <w:shd w:fill="1F3A5F" w:color="auto" w:val="clear"/>
            <w:tcMar>
              <w:top w:type="dxa" w:w="40"/>
              <w:left w:type="dxa" w:w="90"/>
              <w:bottom w:type="dxa" w:w="40"/>
              <w:right w:type="dxa" w:w="90"/>
            </w:tcMar>
          </w:tcPr>
          <w:p>
            <w:pPr>
              <w:jc w:val="left"/>
            </w:pPr>
            <w:r>
              <w:rPr>
                <w:rFonts w:ascii="Calibri" w:cs="Calibri" w:eastAsia="Calibri" w:hAnsi="Calibri"/>
                <w:b/>
                <w:bCs/>
                <w:color w:val="FFFFFF"/>
                <w:sz w:val="19"/>
                <w:szCs w:val="19"/>
              </w:rPr>
              <w:t xml:space="preserve">Property</w:t>
            </w:r>
          </w:p>
        </w:tc>
        <w:tc>
          <w:tcPr>
            <w:tcW w:type="dxa" w:w="2200"/>
            <w:shd w:fill="1F3A5F" w:color="auto" w:val="clear"/>
            <w:tcMar>
              <w:top w:type="dxa" w:w="40"/>
              <w:left w:type="dxa" w:w="90"/>
              <w:bottom w:type="dxa" w:w="40"/>
              <w:right w:type="dxa" w:w="90"/>
            </w:tcMar>
          </w:tcPr>
          <w:p>
            <w:pPr>
              <w:jc w:val="center"/>
            </w:pPr>
            <w:r>
              <w:rPr>
                <w:rFonts w:ascii="Calibri" w:cs="Calibri" w:eastAsia="Calibri" w:hAnsi="Calibri"/>
                <w:b/>
                <w:bCs/>
                <w:color w:val="FFFFFF"/>
                <w:sz w:val="19"/>
                <w:szCs w:val="19"/>
              </w:rPr>
              <w:t xml:space="preserve">Symbol</w:t>
            </w:r>
          </w:p>
        </w:tc>
        <w:tc>
          <w:tcPr>
            <w:tcW w:type="dxa" w:w="3000"/>
            <w:shd w:fill="1F3A5F" w:color="auto" w:val="clear"/>
            <w:tcMar>
              <w:top w:type="dxa" w:w="40"/>
              <w:left w:type="dxa" w:w="90"/>
              <w:bottom w:type="dxa" w:w="40"/>
              <w:right w:type="dxa" w:w="90"/>
            </w:tcMar>
          </w:tcPr>
          <w:p>
            <w:pPr>
              <w:jc w:val="center"/>
            </w:pPr>
            <w:r>
              <w:rPr>
                <w:rFonts w:ascii="Calibri" w:cs="Calibri" w:eastAsia="Calibri" w:hAnsi="Calibri"/>
                <w:b/>
                <w:bCs/>
                <w:color w:val="FFFFFF"/>
                <w:sz w:val="19"/>
                <w:szCs w:val="19"/>
              </w:rPr>
              <w:t xml:space="preserve">Value</w:t>
            </w:r>
          </w:p>
        </w:tc>
      </w:tr>
      <w:tr>
        <w:tc>
          <w:tcPr>
            <w:tcW w:type="dxa" w:w="4160"/>
            <w:tcMar>
              <w:top w:type="dxa" w:w="40"/>
              <w:left w:type="dxa" w:w="90"/>
              <w:bottom w:type="dxa" w:w="40"/>
              <w:right w:type="dxa" w:w="90"/>
            </w:tcMar>
          </w:tcPr>
          <w:p>
            <w:pPr>
              <w:jc w:val="left"/>
            </w:pPr>
            <w:r>
              <w:rPr>
                <w:rFonts w:ascii="Calibri" w:cs="Calibri" w:eastAsia="Calibri" w:hAnsi="Calibri"/>
                <w:sz w:val="19"/>
                <w:szCs w:val="19"/>
              </w:rPr>
              <w:t xml:space="preserve">Young's modulus</w:t>
            </w:r>
          </w:p>
        </w:tc>
        <w:tc>
          <w:tcPr>
            <w:tcW w:type="dxa" w:w="2200"/>
            <w:tcMar>
              <w:top w:type="dxa" w:w="40"/>
              <w:left w:type="dxa" w:w="90"/>
              <w:bottom w:type="dxa" w:w="40"/>
              <w:right w:type="dxa" w:w="90"/>
            </w:tcMar>
          </w:tcPr>
          <w:p>
            <w:pPr>
              <w:jc w:val="center"/>
            </w:pPr>
            <w:r>
              <w:rPr>
                <w:rFonts w:ascii="Calibri" w:cs="Calibri" w:eastAsia="Calibri" w:hAnsi="Calibri"/>
                <w:sz w:val="19"/>
                <w:szCs w:val="19"/>
              </w:rPr>
              <w:t xml:space="preserve">E</w:t>
            </w:r>
          </w:p>
        </w:tc>
        <w:tc>
          <w:tcPr>
            <w:tcW w:type="dxa" w:w="3000"/>
            <w:tcMar>
              <w:top w:type="dxa" w:w="40"/>
              <w:left w:type="dxa" w:w="90"/>
              <w:bottom w:type="dxa" w:w="40"/>
              <w:right w:type="dxa" w:w="90"/>
            </w:tcMar>
          </w:tcPr>
          <w:p>
            <w:pPr>
              <w:jc w:val="center"/>
            </w:pPr>
            <w:r>
              <w:rPr>
                <w:rFonts w:ascii="Calibri" w:cs="Calibri" w:eastAsia="Calibri" w:hAnsi="Calibri"/>
                <w:sz w:val="19"/>
                <w:szCs w:val="19"/>
              </w:rPr>
              <w:t xml:space="preserve">205 GPa</w:t>
            </w:r>
          </w:p>
        </w:tc>
      </w:tr>
      <w:tr>
        <w:tc>
          <w:tcPr>
            <w:tcW w:type="dxa" w:w="4160"/>
            <w:shd w:fill="EEF2F7" w:color="auto" w:val="clear"/>
            <w:tcMar>
              <w:top w:type="dxa" w:w="40"/>
              <w:left w:type="dxa" w:w="90"/>
              <w:bottom w:type="dxa" w:w="40"/>
              <w:right w:type="dxa" w:w="90"/>
            </w:tcMar>
          </w:tcPr>
          <w:p>
            <w:pPr>
              <w:jc w:val="left"/>
            </w:pPr>
            <w:r>
              <w:rPr>
                <w:rFonts w:ascii="Calibri" w:cs="Calibri" w:eastAsia="Calibri" w:hAnsi="Calibri"/>
                <w:sz w:val="19"/>
                <w:szCs w:val="19"/>
              </w:rPr>
              <w:t xml:space="preserve">Shear modulus</w:t>
            </w:r>
          </w:p>
        </w:tc>
        <w:tc>
          <w:tcPr>
            <w:tcW w:type="dxa" w:w="2200"/>
            <w:shd w:fill="EEF2F7" w:color="auto" w:val="clear"/>
            <w:tcMar>
              <w:top w:type="dxa" w:w="40"/>
              <w:left w:type="dxa" w:w="90"/>
              <w:bottom w:type="dxa" w:w="40"/>
              <w:right w:type="dxa" w:w="90"/>
            </w:tcMar>
          </w:tcPr>
          <w:p>
            <w:pPr>
              <w:jc w:val="center"/>
            </w:pPr>
            <w:r>
              <w:rPr>
                <w:rFonts w:ascii="Calibri" w:cs="Calibri" w:eastAsia="Calibri" w:hAnsi="Calibri"/>
                <w:sz w:val="19"/>
                <w:szCs w:val="19"/>
              </w:rPr>
              <w:t xml:space="preserve">G</w:t>
            </w:r>
          </w:p>
        </w:tc>
        <w:tc>
          <w:tcPr>
            <w:tcW w:type="dxa" w:w="3000"/>
            <w:shd w:fill="EEF2F7" w:color="auto" w:val="clear"/>
            <w:tcMar>
              <w:top w:type="dxa" w:w="40"/>
              <w:left w:type="dxa" w:w="90"/>
              <w:bottom w:type="dxa" w:w="40"/>
              <w:right w:type="dxa" w:w="90"/>
            </w:tcMar>
          </w:tcPr>
          <w:p>
            <w:pPr>
              <w:jc w:val="center"/>
            </w:pPr>
            <w:r>
              <w:rPr>
                <w:rFonts w:ascii="Calibri" w:cs="Calibri" w:eastAsia="Calibri" w:hAnsi="Calibri"/>
                <w:sz w:val="19"/>
                <w:szCs w:val="19"/>
              </w:rPr>
              <w:t xml:space="preserve">80 GPa</w:t>
            </w:r>
          </w:p>
        </w:tc>
      </w:tr>
      <w:tr>
        <w:tc>
          <w:tcPr>
            <w:tcW w:type="dxa" w:w="4160"/>
            <w:tcMar>
              <w:top w:type="dxa" w:w="40"/>
              <w:left w:type="dxa" w:w="90"/>
              <w:bottom w:type="dxa" w:w="40"/>
              <w:right w:type="dxa" w:w="90"/>
            </w:tcMar>
          </w:tcPr>
          <w:p>
            <w:pPr>
              <w:jc w:val="left"/>
            </w:pPr>
            <w:r>
              <w:rPr>
                <w:rFonts w:ascii="Calibri" w:cs="Calibri" w:eastAsia="Calibri" w:hAnsi="Calibri"/>
                <w:sz w:val="19"/>
                <w:szCs w:val="19"/>
              </w:rPr>
              <w:t xml:space="preserve">Yield strength</w:t>
            </w:r>
          </w:p>
        </w:tc>
        <w:tc>
          <w:tcPr>
            <w:tcW w:type="dxa" w:w="2200"/>
            <w:tcMar>
              <w:top w:type="dxa" w:w="40"/>
              <w:left w:type="dxa" w:w="90"/>
              <w:bottom w:type="dxa" w:w="40"/>
              <w:right w:type="dxa" w:w="90"/>
            </w:tcMar>
          </w:tcPr>
          <w:p>
            <w:pPr>
              <w:jc w:val="center"/>
            </w:pPr>
            <w:r>
              <w:rPr>
                <w:rFonts w:ascii="Calibri" w:cs="Calibri" w:eastAsia="Calibri" w:hAnsi="Calibri"/>
                <w:sz w:val="19"/>
                <w:szCs w:val="19"/>
              </w:rPr>
              <w:t xml:space="preserve">Sy</w:t>
            </w:r>
          </w:p>
        </w:tc>
        <w:tc>
          <w:tcPr>
            <w:tcW w:type="dxa" w:w="3000"/>
            <w:tcMar>
              <w:top w:type="dxa" w:w="40"/>
              <w:left w:type="dxa" w:w="90"/>
              <w:bottom w:type="dxa" w:w="40"/>
              <w:right w:type="dxa" w:w="90"/>
            </w:tcMar>
          </w:tcPr>
          <w:p>
            <w:pPr>
              <w:jc w:val="center"/>
            </w:pPr>
            <w:r>
              <w:rPr>
                <w:rFonts w:ascii="Calibri" w:cs="Calibri" w:eastAsia="Calibri" w:hAnsi="Calibri"/>
                <w:sz w:val="19"/>
                <w:szCs w:val="19"/>
              </w:rPr>
              <w:t xml:space="preserve">450 MPa</w:t>
            </w:r>
          </w:p>
        </w:tc>
      </w:tr>
      <w:tr>
        <w:tc>
          <w:tcPr>
            <w:tcW w:type="dxa" w:w="4160"/>
            <w:shd w:fill="EEF2F7" w:color="auto" w:val="clear"/>
            <w:tcMar>
              <w:top w:type="dxa" w:w="40"/>
              <w:left w:type="dxa" w:w="90"/>
              <w:bottom w:type="dxa" w:w="40"/>
              <w:right w:type="dxa" w:w="90"/>
            </w:tcMar>
          </w:tcPr>
          <w:p>
            <w:pPr>
              <w:jc w:val="left"/>
            </w:pPr>
            <w:r>
              <w:rPr>
                <w:rFonts w:ascii="Calibri" w:cs="Calibri" w:eastAsia="Calibri" w:hAnsi="Calibri"/>
                <w:sz w:val="19"/>
                <w:szCs w:val="19"/>
              </w:rPr>
              <w:t xml:space="preserve">Ultimate strength</w:t>
            </w:r>
          </w:p>
        </w:tc>
        <w:tc>
          <w:tcPr>
            <w:tcW w:type="dxa" w:w="2200"/>
            <w:shd w:fill="EEF2F7" w:color="auto" w:val="clear"/>
            <w:tcMar>
              <w:top w:type="dxa" w:w="40"/>
              <w:left w:type="dxa" w:w="90"/>
              <w:bottom w:type="dxa" w:w="40"/>
              <w:right w:type="dxa" w:w="90"/>
            </w:tcMar>
          </w:tcPr>
          <w:p>
            <w:pPr>
              <w:jc w:val="center"/>
            </w:pPr>
            <w:r>
              <w:rPr>
                <w:rFonts w:ascii="Calibri" w:cs="Calibri" w:eastAsia="Calibri" w:hAnsi="Calibri"/>
                <w:sz w:val="19"/>
                <w:szCs w:val="19"/>
              </w:rPr>
              <w:t xml:space="preserve">Sut</w:t>
            </w:r>
          </w:p>
        </w:tc>
        <w:tc>
          <w:tcPr>
            <w:tcW w:type="dxa" w:w="3000"/>
            <w:shd w:fill="EEF2F7" w:color="auto" w:val="clear"/>
            <w:tcMar>
              <w:top w:type="dxa" w:w="40"/>
              <w:left w:type="dxa" w:w="90"/>
              <w:bottom w:type="dxa" w:w="40"/>
              <w:right w:type="dxa" w:w="90"/>
            </w:tcMar>
          </w:tcPr>
          <w:p>
            <w:pPr>
              <w:jc w:val="center"/>
            </w:pPr>
            <w:r>
              <w:rPr>
                <w:rFonts w:ascii="Calibri" w:cs="Calibri" w:eastAsia="Calibri" w:hAnsi="Calibri"/>
                <w:sz w:val="19"/>
                <w:szCs w:val="19"/>
              </w:rPr>
              <w:t xml:space="preserve">585 MPa</w:t>
            </w:r>
          </w:p>
        </w:tc>
      </w:tr>
      <w:tr>
        <w:tc>
          <w:tcPr>
            <w:tcW w:type="dxa" w:w="4160"/>
            <w:tcMar>
              <w:top w:type="dxa" w:w="40"/>
              <w:left w:type="dxa" w:w="90"/>
              <w:bottom w:type="dxa" w:w="40"/>
              <w:right w:type="dxa" w:w="90"/>
            </w:tcMar>
          </w:tcPr>
          <w:p>
            <w:pPr>
              <w:jc w:val="left"/>
            </w:pPr>
            <w:r>
              <w:rPr>
                <w:rFonts w:ascii="Calibri" w:cs="Calibri" w:eastAsia="Calibri" w:hAnsi="Calibri"/>
                <w:sz w:val="19"/>
                <w:szCs w:val="19"/>
              </w:rPr>
              <w:t xml:space="preserve">Density</w:t>
            </w:r>
          </w:p>
        </w:tc>
        <w:tc>
          <w:tcPr>
            <w:tcW w:type="dxa" w:w="2200"/>
            <w:tcMar>
              <w:top w:type="dxa" w:w="40"/>
              <w:left w:type="dxa" w:w="90"/>
              <w:bottom w:type="dxa" w:w="40"/>
              <w:right w:type="dxa" w:w="90"/>
            </w:tcMar>
          </w:tcPr>
          <w:p>
            <w:pPr>
              <w:jc w:val="center"/>
            </w:pPr>
            <w:r>
              <w:rPr>
                <w:rFonts w:ascii="Calibri" w:cs="Calibri" w:eastAsia="Calibri" w:hAnsi="Calibri"/>
                <w:sz w:val="19"/>
                <w:szCs w:val="19"/>
              </w:rPr>
              <w:t xml:space="preserve">rho</w:t>
            </w:r>
          </w:p>
        </w:tc>
        <w:tc>
          <w:tcPr>
            <w:tcW w:type="dxa" w:w="3000"/>
            <w:tcMar>
              <w:top w:type="dxa" w:w="40"/>
              <w:left w:type="dxa" w:w="90"/>
              <w:bottom w:type="dxa" w:w="40"/>
              <w:right w:type="dxa" w:w="90"/>
            </w:tcMar>
          </w:tcPr>
          <w:p>
            <w:pPr>
              <w:jc w:val="center"/>
            </w:pPr>
            <w:r>
              <w:rPr>
                <w:rFonts w:ascii="Calibri" w:cs="Calibri" w:eastAsia="Calibri" w:hAnsi="Calibri"/>
                <w:sz w:val="19"/>
                <w:szCs w:val="19"/>
              </w:rPr>
              <w:t xml:space="preserve">7850 kg/m3</w:t>
            </w:r>
          </w:p>
        </w:tc>
      </w:tr>
    </w:tbl>
    <w:p>
      <w:pPr>
        <w:pStyle w:val="Heading1"/>
        <w:spacing w:after="100" w:before="220"/>
      </w:pPr>
      <w:r>
        <w:rPr>
          <w:rFonts w:ascii="Calibri" w:cs="Calibri" w:eastAsia="Calibri" w:hAnsi="Calibri"/>
          <w:b/>
          <w:bCs/>
          <w:color w:val="1F3A5F"/>
        </w:rPr>
        <w:t xml:space="preserve">4. Loading &amp; Boundary Conditions</w:t>
      </w:r>
    </w:p>
    <w:p>
      <w:pPr>
        <w:spacing w:after="120" w:line="276"/>
      </w:pPr>
      <w:r>
        <w:rPr>
          <w:rFonts w:ascii="Calibri" w:cs="Calibri" w:eastAsia="Calibri" w:hAnsi="Calibri"/>
          <w:sz w:val="21"/>
          <w:szCs w:val="21"/>
        </w:rPr>
        <w:t xml:space="preserve">A front-corner static wheel load of ~4.7 kN was assumed (1600 kg vehicle, front-biased weight distribution). Three governing load cases were applied at the ball joint, representing the worst events the arm must survive:</w:t>
      </w:r>
    </w:p>
    <w:p>
      <w:pPr>
        <w:pStyle w:val="ListParagraph"/>
        <w:numPr>
          <w:ilvl w:val="0"/>
          <w:numId w:val="1"/>
        </w:numPr>
        <w:spacing w:after="60" w:line="264"/>
      </w:pPr>
      <w:r>
        <w:rPr>
          <w:rFonts w:ascii="Calibri" w:cs="Calibri" w:eastAsia="Calibri" w:hAnsi="Calibri"/>
          <w:sz w:val="21"/>
          <w:szCs w:val="21"/>
        </w:rPr>
        <w:t xml:space="preserve">Vertical bump (3g): 14.1 kN vertical — hitting a pothole / hard landing.</w:t>
      </w:r>
    </w:p>
    <w:p>
      <w:pPr>
        <w:pStyle w:val="ListParagraph"/>
        <w:numPr>
          <w:ilvl w:val="0"/>
          <w:numId w:val="1"/>
        </w:numPr>
        <w:spacing w:after="60" w:line="264"/>
      </w:pPr>
      <w:r>
        <w:rPr>
          <w:rFonts w:ascii="Calibri" w:cs="Calibri" w:eastAsia="Calibri" w:hAnsi="Calibri"/>
          <w:sz w:val="21"/>
          <w:szCs w:val="21"/>
        </w:rPr>
        <w:t xml:space="preserve">Braking (1g): 6.0 kN longitudinal + 4.7 kN vertical — emergency stop.</w:t>
      </w:r>
    </w:p>
    <w:p>
      <w:pPr>
        <w:pStyle w:val="ListParagraph"/>
        <w:numPr>
          <w:ilvl w:val="0"/>
          <w:numId w:val="1"/>
        </w:numPr>
        <w:spacing w:after="60" w:line="264"/>
      </w:pPr>
      <w:r>
        <w:rPr>
          <w:rFonts w:ascii="Calibri" w:cs="Calibri" w:eastAsia="Calibri" w:hAnsi="Calibri"/>
          <w:sz w:val="21"/>
          <w:szCs w:val="21"/>
        </w:rPr>
        <w:t xml:space="preserve">Cornering (1.1g): 7.0 kN lateral + 4.7 kN vertical — hard turn on the loaded outer wheel.</w:t>
      </w:r>
    </w:p>
    <w:p>
      <w:pPr>
        <w:spacing w:after="120" w:line="276"/>
      </w:pPr>
      <w:r>
        <w:rPr>
          <w:rFonts w:ascii="Calibri" w:cs="Calibri" w:eastAsia="Calibri" w:hAnsi="Calibri"/>
          <w:sz w:val="21"/>
          <w:szCs w:val="21"/>
        </w:rPr>
        <w:t xml:space="preserve">Boundary conditions: the two inboard bushing centres were fully fixed (a conservative idealisation of the chassis mounts); loads were applied at the ball-joint node.</w:t>
      </w:r>
    </w:p>
    <w:p>
      <w:pPr>
        <w:pStyle w:val="Heading1"/>
        <w:spacing w:after="100" w:before="220"/>
      </w:pPr>
      <w:r>
        <w:rPr>
          <w:rFonts w:ascii="Calibri" w:cs="Calibri" w:eastAsia="Calibri" w:hAnsi="Calibri"/>
          <w:b/>
          <w:bCs/>
          <w:color w:val="1F3A5F"/>
        </w:rPr>
        <w:t xml:space="preserve">5. Analysis Methodology</w:t>
      </w:r>
    </w:p>
    <w:p>
      <w:pPr>
        <w:spacing w:after="120" w:line="276"/>
      </w:pPr>
      <w:r>
        <w:rPr>
          <w:rFonts w:ascii="Calibri" w:cs="Calibri" w:eastAsia="Calibri" w:hAnsi="Calibri"/>
          <w:sz w:val="21"/>
          <w:szCs w:val="21"/>
        </w:rPr>
        <w:t xml:space="preserve">The arm was idealised as a 3D frame of two Euler-Bernoulli beam elements (2 nodes, 6 DOF/node) joining the ball joint to each bushing. The global stiffness system was assembled and solved for nodal displacements and reactions; element internal forces (axial N, shear V, torsion T, bending moments My, Mz) were then recovered. At the critical section the combined normal and shear stresses were computed and reduced to an equivalent von Mises stress:</w:t>
      </w:r>
    </w:p>
    <w:p>
      <w:pPr>
        <w:spacing w:after="60"/>
        <w:jc w:val="center"/>
      </w:pPr>
      <w:r>
        <w:rPr>
          <w:rFonts w:ascii="Cambria Math" w:cs="Cambria Math" w:eastAsia="Cambria Math" w:hAnsi="Cambria Math"/>
          <w:i/>
          <w:iCs/>
          <w:sz w:val="20"/>
          <w:szCs w:val="20"/>
        </w:rPr>
        <w:t xml:space="preserve">s = N/A + My/Sy + Mz/Sz     ;     t = T c/J + 1.5 V/A     ;     s_vM = sqrt(s^2 + 3 t^2)</w:t>
      </w:r>
    </w:p>
    <w:p>
      <w:pPr>
        <w:spacing w:after="120" w:line="276"/>
      </w:pPr>
      <w:r>
        <w:rPr>
          <w:rFonts w:ascii="Calibri" w:cs="Calibri" w:eastAsia="Calibri" w:hAnsi="Calibri"/>
          <w:sz w:val="21"/>
          <w:szCs w:val="21"/>
        </w:rPr>
        <w:t xml:space="preserve">The factor of safety against yielding is FoS = Sy / s_vM. A target of FoS &gt;= 1.5 was set for all load cases.</w:t>
      </w:r>
    </w:p>
    <w:p>
      <w:pPr>
        <w:pStyle w:val="Heading1"/>
        <w:spacing w:after="100" w:before="220"/>
      </w:pPr>
      <w:r>
        <w:rPr>
          <w:rFonts w:ascii="Calibri" w:cs="Calibri" w:eastAsia="Calibri" w:hAnsi="Calibri"/>
          <w:b/>
          <w:bCs/>
          <w:color w:val="1F3A5F"/>
        </w:rPr>
        <w:t xml:space="preserve">6. Results &amp; Discussion</w:t>
      </w:r>
    </w:p>
    <w:p>
      <w:pPr>
        <w:spacing w:after="120" w:line="276"/>
      </w:pPr>
      <w:r>
        <w:rPr>
          <w:rFonts w:ascii="Calibri" w:cs="Calibri" w:eastAsia="Calibri" w:hAnsi="Calibri"/>
          <w:sz w:val="21"/>
          <w:szCs w:val="21"/>
        </w:rPr>
        <w:t xml:space="preserve">The initial (baseline) design used a 22 mm-thick plate section. It passed the braking and cornering cases comfortably but FAILED the 3g bump case (von Mises 505 MPa &gt; 450 MPa yield; FoS = 0.89). The bump load bends the arm about its weak vertical axis, where the thin plate has a small section modulus — the classic failure mode for plate-type control arms.</w:t>
      </w:r>
    </w:p>
    <w:p>
      <w:pPr>
        <w:spacing w:after="40" w:before="80"/>
        <w:jc w:val="center"/>
      </w:pPr>
      <w:r>
        <w:drawing>
          <wp:inline distT="0" distB="0" distL="0" distR="0">
            <wp:extent cx="409575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3190875"/>
                    </a:xfrm>
                    <a:prstGeom prst="rect">
                      <a:avLst/>
                    </a:prstGeom>
                  </pic:spPr>
                </pic:pic>
              </a:graphicData>
            </a:graphic>
          </wp:inline>
        </w:drawing>
      </w:r>
    </w:p>
    <w:p>
      <w:pPr>
        <w:spacing w:after="160"/>
        <w:jc w:val="center"/>
      </w:pPr>
      <w:r>
        <w:rPr>
          <w:rFonts w:ascii="Calibri" w:cs="Calibri" w:eastAsia="Calibri" w:hAnsi="Calibri"/>
          <w:i/>
          <w:iCs/>
          <w:color w:val="666666"/>
          <w:sz w:val="18"/>
          <w:szCs w:val="18"/>
        </w:rPr>
        <w:t xml:space="preserve">Figure 2 — Von Mises stress contour, 3g bump case (final design). Stress peaks at the outer fibres near the fixed bushings and is low near the loaded apex, consistent with a bending-dominated frame.</w:t>
      </w:r>
    </w:p>
    <w:p>
      <w:pPr>
        <w:spacing w:after="100" w:line="276"/>
      </w:pPr>
      <w:r>
        <w:rPr>
          <w:rFonts w:ascii="Calibri" w:cs="Calibri" w:eastAsia="Calibri" w:hAnsi="Calibri"/>
          <w:sz w:val="21"/>
          <w:szCs w:val="21"/>
        </w:rPr>
        <w:t xml:space="preserve">Design iteration: the plate thickness was increased from 22 mm to 32 mm (and the legs slightly widened). Because the weak-axis section modulus scales with thickness squared, this more than halved the bump stress at a mass penalty of ~3 kg. The revised design meets the FoS &gt;= 1.5 target in every case.</w:t>
      </w:r>
    </w:p>
    <w:p>
      <w:pPr>
        <w:spacing w:after="40" w:before="80"/>
        <w:jc w:val="center"/>
      </w:pPr>
      <w:r>
        <w:drawing>
          <wp:inline distT="0" distB="0" distL="0" distR="0">
            <wp:extent cx="542925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2085975"/>
                    </a:xfrm>
                    <a:prstGeom prst="rect">
                      <a:avLst/>
                    </a:prstGeom>
                  </pic:spPr>
                </pic:pic>
              </a:graphicData>
            </a:graphic>
          </wp:inline>
        </w:drawing>
      </w:r>
    </w:p>
    <w:p>
      <w:pPr>
        <w:spacing w:after="160"/>
        <w:jc w:val="center"/>
      </w:pPr>
      <w:r>
        <w:rPr>
          <w:rFonts w:ascii="Calibri" w:cs="Calibri" w:eastAsia="Calibri" w:hAnsi="Calibri"/>
          <w:i/>
          <w:iCs/>
          <w:color w:val="666666"/>
          <w:sz w:val="18"/>
          <w:szCs w:val="18"/>
        </w:rPr>
        <w:t xml:space="preserve">Figure 3 — Peak von Mises stress and factor of safety, baseline vs. final design, for all three load cases.</w:t>
      </w:r>
    </w:p>
    <w:p>
      <w:pPr>
        <w:spacing w:after="40" w:before="80"/>
        <w:jc w:val="center"/>
      </w:pPr>
      <w:r>
        <w:drawing>
          <wp:inline distT="0" distB="0" distL="0" distR="0">
            <wp:extent cx="44767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352675"/>
                    </a:xfrm>
                    <a:prstGeom prst="rect">
                      <a:avLst/>
                    </a:prstGeom>
                  </pic:spPr>
                </pic:pic>
              </a:graphicData>
            </a:graphic>
          </wp:inline>
        </w:drawing>
      </w:r>
    </w:p>
    <w:p>
      <w:pPr>
        <w:spacing w:after="160"/>
        <w:jc w:val="center"/>
      </w:pPr>
      <w:r>
        <w:rPr>
          <w:rFonts w:ascii="Calibri" w:cs="Calibri" w:eastAsia="Calibri" w:hAnsi="Calibri"/>
          <w:i/>
          <w:iCs/>
          <w:color w:val="666666"/>
          <w:sz w:val="18"/>
          <w:szCs w:val="18"/>
        </w:rPr>
        <w:t xml:space="preserve">Figure 4 — Normal stress along the critical leg (3g bump, final design): maximum at the fixed bushing end, decreasing toward the ball joint.</w:t>
      </w:r>
    </w:p>
    <w:p>
      <w:pPr>
        <w:spacing w:after="60" w:line="276"/>
      </w:pPr>
      <w:r>
        <w:rPr>
          <w:rFonts w:ascii="Calibri" w:cs="Calibri" w:eastAsia="Calibri" w:hAnsi="Calibri"/>
          <w:sz w:val="21"/>
          <w:szCs w:val="21"/>
        </w:rPr>
        <w:t xml:space="preserve">Summary of results (critical element per load case):</w:t>
      </w:r>
    </w:p>
    <w:tbl>
      <w:tblPr>
        <w:tblW w:type="dxa" w:w="9080"/>
        <w:tblBorders>
          <w:top w:val="single" w:color="BBBBBB" w:sz="4"/>
          <w:left w:val="single" w:color="BBBBBB" w:sz="4"/>
          <w:bottom w:val="single" w:color="BBBBBB" w:sz="4"/>
          <w:right w:val="single" w:color="BBBBBB" w:sz="4"/>
          <w:insideH w:val="single" w:color="BBBBBB" w:sz="4"/>
          <w:insideV w:val="single" w:color="BBBBBB" w:sz="4"/>
        </w:tblBorders>
      </w:tblPr>
      <w:tblGrid>
        <w:gridCol w:w="2760"/>
        <w:gridCol w:w="1720"/>
        <w:gridCol w:w="1600"/>
        <w:gridCol w:w="1560"/>
        <w:gridCol w:w="1440"/>
      </w:tblGrid>
      <w:tr>
        <w:trPr>
          <w:tblHeader/>
        </w:trPr>
        <w:tc>
          <w:tcPr>
            <w:tcW w:type="dxa" w:w="2760"/>
            <w:shd w:fill="1F3A5F" w:color="auto" w:val="clear"/>
            <w:tcMar>
              <w:top w:type="dxa" w:w="40"/>
              <w:left w:type="dxa" w:w="90"/>
              <w:bottom w:type="dxa" w:w="40"/>
              <w:right w:type="dxa" w:w="90"/>
            </w:tcMar>
          </w:tcPr>
          <w:p>
            <w:pPr>
              <w:jc w:val="left"/>
            </w:pPr>
            <w:r>
              <w:rPr>
                <w:rFonts w:ascii="Calibri" w:cs="Calibri" w:eastAsia="Calibri" w:hAnsi="Calibri"/>
                <w:b/>
                <w:bCs/>
                <w:color w:val="FFFFFF"/>
                <w:sz w:val="19"/>
                <w:szCs w:val="19"/>
              </w:rPr>
              <w:t xml:space="preserve">Load case</w:t>
            </w:r>
          </w:p>
        </w:tc>
        <w:tc>
          <w:tcPr>
            <w:tcW w:type="dxa" w:w="1720"/>
            <w:shd w:fill="1F3A5F" w:color="auto" w:val="clear"/>
            <w:tcMar>
              <w:top w:type="dxa" w:w="40"/>
              <w:left w:type="dxa" w:w="90"/>
              <w:bottom w:type="dxa" w:w="40"/>
              <w:right w:type="dxa" w:w="90"/>
            </w:tcMar>
          </w:tcPr>
          <w:p>
            <w:pPr>
              <w:jc w:val="center"/>
            </w:pPr>
            <w:r>
              <w:rPr>
                <w:rFonts w:ascii="Calibri" w:cs="Calibri" w:eastAsia="Calibri" w:hAnsi="Calibri"/>
                <w:b/>
                <w:bCs/>
                <w:color w:val="FFFFFF"/>
                <w:sz w:val="19"/>
                <w:szCs w:val="19"/>
              </w:rPr>
              <w:t xml:space="preserve">vM baseline (MPa)</w:t>
            </w:r>
          </w:p>
        </w:tc>
        <w:tc>
          <w:tcPr>
            <w:tcW w:type="dxa" w:w="1600"/>
            <w:shd w:fill="1F3A5F" w:color="auto" w:val="clear"/>
            <w:tcMar>
              <w:top w:type="dxa" w:w="40"/>
              <w:left w:type="dxa" w:w="90"/>
              <w:bottom w:type="dxa" w:w="40"/>
              <w:right w:type="dxa" w:w="90"/>
            </w:tcMar>
          </w:tcPr>
          <w:p>
            <w:pPr>
              <w:jc w:val="center"/>
            </w:pPr>
            <w:r>
              <w:rPr>
                <w:rFonts w:ascii="Calibri" w:cs="Calibri" w:eastAsia="Calibri" w:hAnsi="Calibri"/>
                <w:b/>
                <w:bCs/>
                <w:color w:val="FFFFFF"/>
                <w:sz w:val="19"/>
                <w:szCs w:val="19"/>
              </w:rPr>
              <w:t xml:space="preserve">FoS baseline</w:t>
            </w:r>
          </w:p>
        </w:tc>
        <w:tc>
          <w:tcPr>
            <w:tcW w:type="dxa" w:w="1560"/>
            <w:shd w:fill="1F3A5F" w:color="auto" w:val="clear"/>
            <w:tcMar>
              <w:top w:type="dxa" w:w="40"/>
              <w:left w:type="dxa" w:w="90"/>
              <w:bottom w:type="dxa" w:w="40"/>
              <w:right w:type="dxa" w:w="90"/>
            </w:tcMar>
          </w:tcPr>
          <w:p>
            <w:pPr>
              <w:jc w:val="center"/>
            </w:pPr>
            <w:r>
              <w:rPr>
                <w:rFonts w:ascii="Calibri" w:cs="Calibri" w:eastAsia="Calibri" w:hAnsi="Calibri"/>
                <w:b/>
                <w:bCs/>
                <w:color w:val="FFFFFF"/>
                <w:sz w:val="19"/>
                <w:szCs w:val="19"/>
              </w:rPr>
              <w:t xml:space="preserve">vM final (MPa)</w:t>
            </w:r>
          </w:p>
        </w:tc>
        <w:tc>
          <w:tcPr>
            <w:tcW w:type="dxa" w:w="1440"/>
            <w:shd w:fill="1F3A5F" w:color="auto" w:val="clear"/>
            <w:tcMar>
              <w:top w:type="dxa" w:w="40"/>
              <w:left w:type="dxa" w:w="90"/>
              <w:bottom w:type="dxa" w:w="40"/>
              <w:right w:type="dxa" w:w="90"/>
            </w:tcMar>
          </w:tcPr>
          <w:p>
            <w:pPr>
              <w:jc w:val="center"/>
            </w:pPr>
            <w:r>
              <w:rPr>
                <w:rFonts w:ascii="Calibri" w:cs="Calibri" w:eastAsia="Calibri" w:hAnsi="Calibri"/>
                <w:b/>
                <w:bCs/>
                <w:color w:val="FFFFFF"/>
                <w:sz w:val="19"/>
                <w:szCs w:val="19"/>
              </w:rPr>
              <w:t xml:space="preserve">FoS final</w:t>
            </w:r>
          </w:p>
        </w:tc>
      </w:tr>
      <w:tr>
        <w:tc>
          <w:tcPr>
            <w:tcW w:type="dxa" w:w="2760"/>
            <w:tcMar>
              <w:top w:type="dxa" w:w="40"/>
              <w:left w:type="dxa" w:w="90"/>
              <w:bottom w:type="dxa" w:w="40"/>
              <w:right w:type="dxa" w:w="90"/>
            </w:tcMar>
          </w:tcPr>
          <w:p>
            <w:pPr>
              <w:jc w:val="left"/>
            </w:pPr>
            <w:r>
              <w:rPr>
                <w:rFonts w:ascii="Calibri" w:cs="Calibri" w:eastAsia="Calibri" w:hAnsi="Calibri"/>
                <w:sz w:val="19"/>
                <w:szCs w:val="19"/>
              </w:rPr>
              <w:t xml:space="preserve">Vertical bump (3g)</w:t>
            </w:r>
          </w:p>
        </w:tc>
        <w:tc>
          <w:tcPr>
            <w:tcW w:type="dxa" w:w="1720"/>
            <w:tcMar>
              <w:top w:type="dxa" w:w="40"/>
              <w:left w:type="dxa" w:w="90"/>
              <w:bottom w:type="dxa" w:w="40"/>
              <w:right w:type="dxa" w:w="90"/>
            </w:tcMar>
          </w:tcPr>
          <w:p>
            <w:pPr>
              <w:jc w:val="center"/>
            </w:pPr>
            <w:r>
              <w:rPr>
                <w:rFonts w:ascii="Calibri" w:cs="Calibri" w:eastAsia="Calibri" w:hAnsi="Calibri"/>
                <w:sz w:val="19"/>
                <w:szCs w:val="19"/>
              </w:rPr>
              <w:t xml:space="preserve">505</w:t>
            </w:r>
          </w:p>
        </w:tc>
        <w:tc>
          <w:tcPr>
            <w:tcW w:type="dxa" w:w="1600"/>
            <w:tcMar>
              <w:top w:type="dxa" w:w="40"/>
              <w:left w:type="dxa" w:w="90"/>
              <w:bottom w:type="dxa" w:w="40"/>
              <w:right w:type="dxa" w:w="90"/>
            </w:tcMar>
          </w:tcPr>
          <w:p>
            <w:pPr>
              <w:jc w:val="center"/>
            </w:pPr>
            <w:r>
              <w:rPr>
                <w:rFonts w:ascii="Calibri" w:cs="Calibri" w:eastAsia="Calibri" w:hAnsi="Calibri"/>
                <w:sz w:val="19"/>
                <w:szCs w:val="19"/>
              </w:rPr>
              <w:t xml:space="preserve">0.89  (fail)</w:t>
            </w:r>
          </w:p>
        </w:tc>
        <w:tc>
          <w:tcPr>
            <w:tcW w:type="dxa" w:w="1560"/>
            <w:tcMar>
              <w:top w:type="dxa" w:w="40"/>
              <w:left w:type="dxa" w:w="90"/>
              <w:bottom w:type="dxa" w:w="40"/>
              <w:right w:type="dxa" w:w="90"/>
            </w:tcMar>
          </w:tcPr>
          <w:p>
            <w:pPr>
              <w:jc w:val="center"/>
            </w:pPr>
            <w:r>
              <w:rPr>
                <w:rFonts w:ascii="Calibri" w:cs="Calibri" w:eastAsia="Calibri" w:hAnsi="Calibri"/>
                <w:sz w:val="19"/>
                <w:szCs w:val="19"/>
              </w:rPr>
              <w:t xml:space="preserve">233</w:t>
            </w:r>
          </w:p>
        </w:tc>
        <w:tc>
          <w:tcPr>
            <w:tcW w:type="dxa" w:w="1440"/>
            <w:tcMar>
              <w:top w:type="dxa" w:w="40"/>
              <w:left w:type="dxa" w:w="90"/>
              <w:bottom w:type="dxa" w:w="40"/>
              <w:right w:type="dxa" w:w="90"/>
            </w:tcMar>
          </w:tcPr>
          <w:p>
            <w:pPr>
              <w:jc w:val="center"/>
            </w:pPr>
            <w:r>
              <w:rPr>
                <w:rFonts w:ascii="Calibri" w:cs="Calibri" w:eastAsia="Calibri" w:hAnsi="Calibri"/>
                <w:sz w:val="19"/>
                <w:szCs w:val="19"/>
              </w:rPr>
              <w:t xml:space="preserve">1.93</w:t>
            </w:r>
          </w:p>
        </w:tc>
      </w:tr>
      <w:tr>
        <w:tc>
          <w:tcPr>
            <w:tcW w:type="dxa" w:w="2760"/>
            <w:shd w:fill="EEF2F7" w:color="auto" w:val="clear"/>
            <w:tcMar>
              <w:top w:type="dxa" w:w="40"/>
              <w:left w:type="dxa" w:w="90"/>
              <w:bottom w:type="dxa" w:w="40"/>
              <w:right w:type="dxa" w:w="90"/>
            </w:tcMar>
          </w:tcPr>
          <w:p>
            <w:pPr>
              <w:jc w:val="left"/>
            </w:pPr>
            <w:r>
              <w:rPr>
                <w:rFonts w:ascii="Calibri" w:cs="Calibri" w:eastAsia="Calibri" w:hAnsi="Calibri"/>
                <w:sz w:val="19"/>
                <w:szCs w:val="19"/>
              </w:rPr>
              <w:t xml:space="preserve">Braking (1g)</w:t>
            </w:r>
          </w:p>
        </w:tc>
        <w:tc>
          <w:tcPr>
            <w:tcW w:type="dxa" w:w="1720"/>
            <w:shd w:fill="EEF2F7" w:color="auto" w:val="clear"/>
            <w:tcMar>
              <w:top w:type="dxa" w:w="40"/>
              <w:left w:type="dxa" w:w="90"/>
              <w:bottom w:type="dxa" w:w="40"/>
              <w:right w:type="dxa" w:w="90"/>
            </w:tcMar>
          </w:tcPr>
          <w:p>
            <w:pPr>
              <w:jc w:val="center"/>
            </w:pPr>
            <w:r>
              <w:rPr>
                <w:rFonts w:ascii="Calibri" w:cs="Calibri" w:eastAsia="Calibri" w:hAnsi="Calibri"/>
                <w:sz w:val="19"/>
                <w:szCs w:val="19"/>
              </w:rPr>
              <w:t xml:space="preserve">183</w:t>
            </w:r>
          </w:p>
        </w:tc>
        <w:tc>
          <w:tcPr>
            <w:tcW w:type="dxa" w:w="1600"/>
            <w:shd w:fill="EEF2F7" w:color="auto" w:val="clear"/>
            <w:tcMar>
              <w:top w:type="dxa" w:w="40"/>
              <w:left w:type="dxa" w:w="90"/>
              <w:bottom w:type="dxa" w:w="40"/>
              <w:right w:type="dxa" w:w="90"/>
            </w:tcMar>
          </w:tcPr>
          <w:p>
            <w:pPr>
              <w:jc w:val="center"/>
            </w:pPr>
            <w:r>
              <w:rPr>
                <w:rFonts w:ascii="Calibri" w:cs="Calibri" w:eastAsia="Calibri" w:hAnsi="Calibri"/>
                <w:sz w:val="19"/>
                <w:szCs w:val="19"/>
              </w:rPr>
              <w:t xml:space="preserve">2.46</w:t>
            </w:r>
          </w:p>
        </w:tc>
        <w:tc>
          <w:tcPr>
            <w:tcW w:type="dxa" w:w="1560"/>
            <w:shd w:fill="EEF2F7" w:color="auto" w:val="clear"/>
            <w:tcMar>
              <w:top w:type="dxa" w:w="40"/>
              <w:left w:type="dxa" w:w="90"/>
              <w:bottom w:type="dxa" w:w="40"/>
              <w:right w:type="dxa" w:w="90"/>
            </w:tcMar>
          </w:tcPr>
          <w:p>
            <w:pPr>
              <w:jc w:val="center"/>
            </w:pPr>
            <w:r>
              <w:rPr>
                <w:rFonts w:ascii="Calibri" w:cs="Calibri" w:eastAsia="Calibri" w:hAnsi="Calibri"/>
                <w:sz w:val="19"/>
                <w:szCs w:val="19"/>
              </w:rPr>
              <w:t xml:space="preserve">88</w:t>
            </w:r>
          </w:p>
        </w:tc>
        <w:tc>
          <w:tcPr>
            <w:tcW w:type="dxa" w:w="1440"/>
            <w:shd w:fill="EEF2F7" w:color="auto" w:val="clear"/>
            <w:tcMar>
              <w:top w:type="dxa" w:w="40"/>
              <w:left w:type="dxa" w:w="90"/>
              <w:bottom w:type="dxa" w:w="40"/>
              <w:right w:type="dxa" w:w="90"/>
            </w:tcMar>
          </w:tcPr>
          <w:p>
            <w:pPr>
              <w:jc w:val="center"/>
            </w:pPr>
            <w:r>
              <w:rPr>
                <w:rFonts w:ascii="Calibri" w:cs="Calibri" w:eastAsia="Calibri" w:hAnsi="Calibri"/>
                <w:sz w:val="19"/>
                <w:szCs w:val="19"/>
              </w:rPr>
              <w:t xml:space="preserve">5.12</w:t>
            </w:r>
          </w:p>
        </w:tc>
      </w:tr>
      <w:tr>
        <w:tc>
          <w:tcPr>
            <w:tcW w:type="dxa" w:w="2760"/>
            <w:tcMar>
              <w:top w:type="dxa" w:w="40"/>
              <w:left w:type="dxa" w:w="90"/>
              <w:bottom w:type="dxa" w:w="40"/>
              <w:right w:type="dxa" w:w="90"/>
            </w:tcMar>
          </w:tcPr>
          <w:p>
            <w:pPr>
              <w:jc w:val="left"/>
            </w:pPr>
            <w:r>
              <w:rPr>
                <w:rFonts w:ascii="Calibri" w:cs="Calibri" w:eastAsia="Calibri" w:hAnsi="Calibri"/>
                <w:sz w:val="19"/>
                <w:szCs w:val="19"/>
              </w:rPr>
              <w:t xml:space="preserve">Cornering (1.1g)</w:t>
            </w:r>
          </w:p>
        </w:tc>
        <w:tc>
          <w:tcPr>
            <w:tcW w:type="dxa" w:w="1720"/>
            <w:tcMar>
              <w:top w:type="dxa" w:w="40"/>
              <w:left w:type="dxa" w:w="90"/>
              <w:bottom w:type="dxa" w:w="40"/>
              <w:right w:type="dxa" w:w="90"/>
            </w:tcMar>
          </w:tcPr>
          <w:p>
            <w:pPr>
              <w:jc w:val="center"/>
            </w:pPr>
            <w:r>
              <w:rPr>
                <w:rFonts w:ascii="Calibri" w:cs="Calibri" w:eastAsia="Calibri" w:hAnsi="Calibri"/>
                <w:sz w:val="19"/>
                <w:szCs w:val="19"/>
              </w:rPr>
              <w:t xml:space="preserve">171</w:t>
            </w:r>
          </w:p>
        </w:tc>
        <w:tc>
          <w:tcPr>
            <w:tcW w:type="dxa" w:w="1600"/>
            <w:tcMar>
              <w:top w:type="dxa" w:w="40"/>
              <w:left w:type="dxa" w:w="90"/>
              <w:bottom w:type="dxa" w:w="40"/>
              <w:right w:type="dxa" w:w="90"/>
            </w:tcMar>
          </w:tcPr>
          <w:p>
            <w:pPr>
              <w:jc w:val="center"/>
            </w:pPr>
            <w:r>
              <w:rPr>
                <w:rFonts w:ascii="Calibri" w:cs="Calibri" w:eastAsia="Calibri" w:hAnsi="Calibri"/>
                <w:sz w:val="19"/>
                <w:szCs w:val="19"/>
              </w:rPr>
              <w:t xml:space="preserve">2.62</w:t>
            </w:r>
          </w:p>
        </w:tc>
        <w:tc>
          <w:tcPr>
            <w:tcW w:type="dxa" w:w="1560"/>
            <w:tcMar>
              <w:top w:type="dxa" w:w="40"/>
              <w:left w:type="dxa" w:w="90"/>
              <w:bottom w:type="dxa" w:w="40"/>
              <w:right w:type="dxa" w:w="90"/>
            </w:tcMar>
          </w:tcPr>
          <w:p>
            <w:pPr>
              <w:jc w:val="center"/>
            </w:pPr>
            <w:r>
              <w:rPr>
                <w:rFonts w:ascii="Calibri" w:cs="Calibri" w:eastAsia="Calibri" w:hAnsi="Calibri"/>
                <w:sz w:val="19"/>
                <w:szCs w:val="19"/>
              </w:rPr>
              <w:t xml:space="preserve">80</w:t>
            </w:r>
          </w:p>
        </w:tc>
        <w:tc>
          <w:tcPr>
            <w:tcW w:type="dxa" w:w="1440"/>
            <w:tcMar>
              <w:top w:type="dxa" w:w="40"/>
              <w:left w:type="dxa" w:w="90"/>
              <w:bottom w:type="dxa" w:w="40"/>
              <w:right w:type="dxa" w:w="90"/>
            </w:tcMar>
          </w:tcPr>
          <w:p>
            <w:pPr>
              <w:jc w:val="center"/>
            </w:pPr>
            <w:r>
              <w:rPr>
                <w:rFonts w:ascii="Calibri" w:cs="Calibri" w:eastAsia="Calibri" w:hAnsi="Calibri"/>
                <w:sz w:val="19"/>
                <w:szCs w:val="19"/>
              </w:rPr>
              <w:t xml:space="preserve">5.64</w:t>
            </w:r>
          </w:p>
        </w:tc>
      </w:tr>
    </w:tbl>
    <w:p>
      <w:pPr>
        <w:spacing w:after="120" w:before="60"/>
      </w:pPr>
      <w:r>
        <w:rPr>
          <w:rFonts w:ascii="Calibri" w:cs="Calibri" w:eastAsia="Calibri" w:hAnsi="Calibri"/>
          <w:i/>
          <w:iCs/>
          <w:color w:val="666666"/>
          <w:sz w:val="19"/>
          <w:szCs w:val="19"/>
        </w:rPr>
        <w:t xml:space="preserve">A first-order fatigue check (estimated endurance limit Se ~ 168 MPa) indicates the bump case is the fatigue-limiting condition and warrants generous fillet radii at the leg-to-boss junctions in detailed design.</w:t>
      </w:r>
    </w:p>
    <w:p>
      <w:pPr>
        <w:pStyle w:val="Heading1"/>
        <w:spacing w:after="100" w:before="220"/>
      </w:pPr>
      <w:r>
        <w:rPr>
          <w:rFonts w:ascii="Calibri" w:cs="Calibri" w:eastAsia="Calibri" w:hAnsi="Calibri"/>
          <w:b/>
          <w:bCs/>
          <w:color w:val="1F3A5F"/>
        </w:rPr>
        <w:t xml:space="preserve">7. Conclusion</w:t>
      </w:r>
    </w:p>
    <w:p>
      <w:pPr>
        <w:pStyle w:val="ListParagraph"/>
        <w:numPr>
          <w:ilvl w:val="0"/>
          <w:numId w:val="1"/>
        </w:numPr>
        <w:spacing w:after="60" w:line="264"/>
      </w:pPr>
      <w:r>
        <w:rPr>
          <w:rFonts w:ascii="Calibri" w:cs="Calibri" w:eastAsia="Calibri" w:hAnsi="Calibri"/>
          <w:sz w:val="21"/>
          <w:szCs w:val="21"/>
        </w:rPr>
        <w:t xml:space="preserve">A parametric CAD model of an automotive lower control arm was created and exported to STEP and STL.</w:t>
      </w:r>
    </w:p>
    <w:p>
      <w:pPr>
        <w:pStyle w:val="ListParagraph"/>
        <w:numPr>
          <w:ilvl w:val="0"/>
          <w:numId w:val="1"/>
        </w:numPr>
        <w:spacing w:after="60" w:line="264"/>
      </w:pPr>
      <w:r>
        <w:rPr>
          <w:rFonts w:ascii="Calibri" w:cs="Calibri" w:eastAsia="Calibri" w:hAnsi="Calibri"/>
          <w:sz w:val="21"/>
          <w:szCs w:val="21"/>
        </w:rPr>
        <w:t xml:space="preserve">A 3D beam-FEA plus combined-stress analysis was performed for bump, braking and cornering load cases.</w:t>
      </w:r>
    </w:p>
    <w:p>
      <w:pPr>
        <w:pStyle w:val="ListParagraph"/>
        <w:numPr>
          <w:ilvl w:val="0"/>
          <w:numId w:val="1"/>
        </w:numPr>
        <w:spacing w:after="60" w:line="264"/>
      </w:pPr>
      <w:r>
        <w:rPr>
          <w:rFonts w:ascii="Calibri" w:cs="Calibri" w:eastAsia="Calibri" w:hAnsi="Calibri"/>
          <w:sz w:val="21"/>
          <w:szCs w:val="21"/>
        </w:rPr>
        <w:t xml:space="preserve">The baseline design failed the 3g bump case (FoS = 0.89); increasing the section thickness to 32 mm raised the minimum FoS to 1.93 — above the 1.5 target — at ~3 kg extra mass.</w:t>
      </w:r>
    </w:p>
    <w:p>
      <w:pPr>
        <w:pStyle w:val="ListParagraph"/>
        <w:numPr>
          <w:ilvl w:val="0"/>
          <w:numId w:val="1"/>
        </w:numPr>
        <w:spacing w:after="60" w:line="264"/>
      </w:pPr>
      <w:r>
        <w:rPr>
          <w:rFonts w:ascii="Calibri" w:cs="Calibri" w:eastAsia="Calibri" w:hAnsi="Calibri"/>
          <w:sz w:val="21"/>
          <w:szCs w:val="21"/>
        </w:rPr>
        <w:t xml:space="preserve">Recommended next steps: continuum (solid) FEA to capture stress concentrations, topology optimisation to recover the added mass, and detailed fatigue analysis of the fillet regions.</w:t>
      </w:r>
    </w:p>
    <w:p>
      <w:pPr>
        <w:pBdr>
          <w:top w:val="single" w:color="CCCCCC" w:sz="6"/>
        </w:pBdr>
        <w:spacing w:before="200"/>
      </w:pPr>
      <w:r>
        <w:rPr>
          <w:rFonts w:ascii="Calibri" w:cs="Calibri" w:eastAsia="Calibri" w:hAnsi="Calibri"/>
          <w:i/>
          <w:iCs/>
          <w:color w:val="666666"/>
          <w:sz w:val="17"/>
          <w:szCs w:val="17"/>
        </w:rPr>
        <w:t xml:space="preserve">Deliverables: suspension_control_arm.step, suspension_control_arm.stl, simulation figures (this report).</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bbcf20935a869d75e7261cf234e019e977dafe5.png"/><Relationship Id="rId8" Type="http://schemas.openxmlformats.org/officeDocument/2006/relationships/image" Target="media/f45549890a5105acf3462ae8fa46182e6448c49d.png"/><Relationship Id="rId9" Type="http://schemas.openxmlformats.org/officeDocument/2006/relationships/image" Target="media/39c50971eb701da708eddc80efee69c5a36ac854.png"/><Relationship Id="rId10" Type="http://schemas.openxmlformats.org/officeDocument/2006/relationships/image" Target="media/204177d07e6f84734879c7344dc2e242a2e8aad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2026-07-01T14:39:29.589Z</dcterms:created>
  <dcterms:modified xsi:type="dcterms:W3CDTF">2026-07-01T14:39:29.589Z</dcterms:modified>
</cp:coreProperties>
</file>

<file path=docProps/custom.xml><?xml version="1.0" encoding="utf-8"?>
<Properties xmlns="http://schemas.openxmlformats.org/officeDocument/2006/custom-properties" xmlns:vt="http://schemas.openxmlformats.org/officeDocument/2006/docPropsVTypes"/>
</file>