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0F27" w14:textId="2C91B7C0" w:rsidR="001D6228" w:rsidRPr="0001646B" w:rsidRDefault="0001646B">
      <w:pPr>
        <w:rPr>
          <w:b/>
          <w:lang w:val="fr-CA"/>
        </w:rPr>
      </w:pPr>
      <w:r w:rsidRPr="0001646B">
        <w:rPr>
          <w:b/>
          <w:lang w:val="fr-CA"/>
        </w:rPr>
        <w:t>Partie 1</w:t>
      </w:r>
    </w:p>
    <w:p w14:paraId="6D42FA4B" w14:textId="6855758B" w:rsidR="0001646B" w:rsidRPr="0001646B" w:rsidRDefault="0001646B">
      <w:pPr>
        <w:rPr>
          <w:u w:val="single"/>
          <w:lang w:val="fr-CA"/>
        </w:rPr>
      </w:pPr>
      <w:r w:rsidRPr="0001646B">
        <w:rPr>
          <w:u w:val="single"/>
          <w:lang w:val="fr-CA"/>
        </w:rPr>
        <w:t>Question 1.</w:t>
      </w:r>
    </w:p>
    <w:p w14:paraId="407D78D8" w14:textId="318B407F" w:rsidR="0001646B" w:rsidRPr="0001646B" w:rsidRDefault="0001646B">
      <w:pPr>
        <w:rPr>
          <w:lang w:val="fr-CA"/>
        </w:rPr>
      </w:pPr>
      <w:r w:rsidRPr="0001646B">
        <w:rPr>
          <w:noProof/>
          <w:lang w:val="fr-CA"/>
        </w:rPr>
        <w:drawing>
          <wp:inline distT="0" distB="0" distL="0" distR="0" wp14:anchorId="1D290B71" wp14:editId="05DB4C0D">
            <wp:extent cx="5943600" cy="3551555"/>
            <wp:effectExtent l="0" t="0" r="0" b="10795"/>
            <wp:docPr id="1" name="Chart 1">
              <a:extLst xmlns:a="http://schemas.openxmlformats.org/drawingml/2006/main">
                <a:ext uri="{FF2B5EF4-FFF2-40B4-BE49-F238E27FC236}">
                  <a16:creationId xmlns:a16="http://schemas.microsoft.com/office/drawing/2014/main" id="{470EB1DF-A01E-4DDD-92F5-7B1D73D9D3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AEB977D" w14:textId="755C20D6" w:rsidR="0001646B" w:rsidRDefault="0001646B" w:rsidP="0001646B">
      <w:pPr>
        <w:jc w:val="both"/>
        <w:rPr>
          <w:lang w:val="fr-CA"/>
        </w:rPr>
      </w:pPr>
      <w:r w:rsidRPr="0001646B">
        <w:rPr>
          <w:lang w:val="fr-CA"/>
        </w:rPr>
        <w:t>Les résultats présentés ci-haut</w:t>
      </w:r>
      <w:r>
        <w:rPr>
          <w:lang w:val="fr-CA"/>
        </w:rPr>
        <w:t xml:space="preserve"> ont été obtenu en calculant la moyenne, pour chaque taille de paquet, du temps nécessaire avant d’obtenir une réponse vide du serveur. Une exécution consiste en l’envoie de 7 paquets, de taille 10</w:t>
      </w:r>
      <w:r>
        <w:rPr>
          <w:vertAlign w:val="superscript"/>
          <w:lang w:val="fr-CA"/>
        </w:rPr>
        <w:t>1</w:t>
      </w:r>
      <w:r>
        <w:rPr>
          <w:lang w:val="fr-CA"/>
        </w:rPr>
        <w:t xml:space="preserve"> à 10</w:t>
      </w:r>
      <w:r>
        <w:rPr>
          <w:vertAlign w:val="superscript"/>
          <w:lang w:val="fr-CA"/>
        </w:rPr>
        <w:t>7</w:t>
      </w:r>
      <w:r>
        <w:rPr>
          <w:lang w:val="fr-CA"/>
        </w:rPr>
        <w:t xml:space="preserve"> octets. Pour les appels normaux, on remarque une baisse du temps nécessaire entre les paquets de 10 octets et ceux de 100. Nous croyons qu’il s’agit d’une latence dû à la première exécution d’une fonction : latence causée par la JVM qui invoque pour la première fois une nouvelle fonction. Par la suite, on observe une hausse pour chaque augmentation de taille du paquet, s’approchant des appels locaux. En ce qui conce</w:t>
      </w:r>
      <w:bookmarkStart w:id="0" w:name="_GoBack"/>
      <w:bookmarkEnd w:id="0"/>
      <w:r>
        <w:rPr>
          <w:lang w:val="fr-CA"/>
        </w:rPr>
        <w:t xml:space="preserve">rne les appels locaux, et distants, on observe également une baisse du temps nécessaire durant les premiers paquets. Nous supposons que la cause est similaire à celle des appels normaux, mais additionné à la latence de la communication réseau. Pour des tailles de paquets plus grosses, on observe </w:t>
      </w:r>
      <w:r w:rsidR="009345A5">
        <w:rPr>
          <w:lang w:val="fr-CA"/>
        </w:rPr>
        <w:t>une latence plus élevée</w:t>
      </w:r>
      <w:r>
        <w:rPr>
          <w:lang w:val="fr-CA"/>
        </w:rPr>
        <w:t xml:space="preserve"> pour les appels distants en comparaison aux appels locaux, ce qui est normal puisque l’appel se fait sur une plus grande distance.</w:t>
      </w:r>
    </w:p>
    <w:p w14:paraId="3F47DA6B" w14:textId="412D6AE7" w:rsidR="0001646B" w:rsidRDefault="0001646B" w:rsidP="0001646B">
      <w:pPr>
        <w:jc w:val="both"/>
        <w:rPr>
          <w:lang w:val="fr-CA"/>
        </w:rPr>
      </w:pPr>
      <w:r>
        <w:rPr>
          <w:lang w:val="fr-CA"/>
        </w:rPr>
        <w:t>Un avantage important de Java RMI est qu’il permet l’appel de fonction à distance comme s’il s’agissait de fonctions locales, malgré un délai plus important. Cette intégration avec le langage permet de faire abstraction de la communication entre les différentes composantes (serveurs et clients), et de programmer comme s’il s’agissait d’une seule grosse composante.</w:t>
      </w:r>
      <w:r w:rsidR="009345A5">
        <w:rPr>
          <w:lang w:val="fr-CA"/>
        </w:rPr>
        <w:t xml:space="preserve"> Puisque RMI abstrait les appels distants, on profite donc d’une plus basse verbosité dans le code.</w:t>
      </w:r>
    </w:p>
    <w:p w14:paraId="384E97CD" w14:textId="4549CA30" w:rsidR="009345A5" w:rsidRDefault="0001646B" w:rsidP="0001646B">
      <w:pPr>
        <w:jc w:val="both"/>
        <w:rPr>
          <w:lang w:val="fr-CA"/>
        </w:rPr>
      </w:pPr>
      <w:r>
        <w:rPr>
          <w:lang w:val="fr-CA"/>
        </w:rPr>
        <w:t xml:space="preserve">Le principale désavantage que nous avons remarqué est </w:t>
      </w:r>
      <w:r w:rsidR="009345A5">
        <w:rPr>
          <w:lang w:val="fr-CA"/>
        </w:rPr>
        <w:t>les délais</w:t>
      </w:r>
      <w:r>
        <w:rPr>
          <w:lang w:val="fr-CA"/>
        </w:rPr>
        <w:t xml:space="preserve"> d’exécution, et </w:t>
      </w:r>
      <w:r w:rsidR="009345A5">
        <w:rPr>
          <w:lang w:val="fr-CA"/>
        </w:rPr>
        <w:t>une configuration plus compliquée de la communication entre les composantes, en comparaison à un API web (par exemple, REST).</w:t>
      </w:r>
    </w:p>
    <w:p w14:paraId="3ADE6E53" w14:textId="023B4CA9" w:rsidR="009345A5" w:rsidRDefault="009345A5" w:rsidP="0001646B">
      <w:pPr>
        <w:jc w:val="both"/>
        <w:rPr>
          <w:lang w:val="fr-CA"/>
        </w:rPr>
      </w:pPr>
    </w:p>
    <w:p w14:paraId="37F88F17" w14:textId="7305DDE3" w:rsidR="009345A5" w:rsidRPr="009345A5" w:rsidRDefault="009345A5" w:rsidP="0001646B">
      <w:pPr>
        <w:jc w:val="both"/>
        <w:rPr>
          <w:u w:val="single"/>
          <w:lang w:val="fr-CA"/>
        </w:rPr>
      </w:pPr>
      <w:r w:rsidRPr="009345A5">
        <w:rPr>
          <w:u w:val="single"/>
          <w:lang w:val="fr-CA"/>
        </w:rPr>
        <w:lastRenderedPageBreak/>
        <w:t>Question 2.</w:t>
      </w:r>
    </w:p>
    <w:p w14:paraId="33F225E4" w14:textId="6F68CE58" w:rsidR="009345A5" w:rsidRPr="0001646B" w:rsidRDefault="009345A5" w:rsidP="0001646B">
      <w:pPr>
        <w:jc w:val="both"/>
        <w:rPr>
          <w:lang w:val="fr-CA"/>
        </w:rPr>
      </w:pPr>
      <w:r>
        <w:rPr>
          <w:lang w:val="fr-CA"/>
        </w:rPr>
        <w:t xml:space="preserve">Au lancement du serveur, le serveur s’inscrit dans un registre RMI qui existe sur sa machine (fonction </w:t>
      </w:r>
      <w:r>
        <w:rPr>
          <w:i/>
          <w:lang w:val="fr-CA"/>
        </w:rPr>
        <w:t>run</w:t>
      </w:r>
      <w:r>
        <w:rPr>
          <w:lang w:val="fr-CA"/>
        </w:rPr>
        <w:t xml:space="preserve"> de la classe </w:t>
      </w:r>
      <w:r>
        <w:rPr>
          <w:i/>
          <w:lang w:val="fr-CA"/>
        </w:rPr>
        <w:t>Server</w:t>
      </w:r>
      <w:r>
        <w:rPr>
          <w:lang w:val="fr-CA"/>
        </w:rPr>
        <w:t xml:space="preserve">). Par la suite, lorsque le client tente d’accéder au serveur, il communique avec le registre RMI de la machine distance (fonction </w:t>
      </w:r>
      <w:proofErr w:type="spellStart"/>
      <w:r>
        <w:rPr>
          <w:i/>
          <w:lang w:val="fr-CA"/>
        </w:rPr>
        <w:t>loadServerStub</w:t>
      </w:r>
      <w:proofErr w:type="spellEnd"/>
      <w:r>
        <w:rPr>
          <w:lang w:val="fr-CA"/>
        </w:rPr>
        <w:t xml:space="preserve"> de la classe </w:t>
      </w:r>
      <w:r>
        <w:rPr>
          <w:i/>
          <w:lang w:val="fr-CA"/>
        </w:rPr>
        <w:t>Client</w:t>
      </w:r>
      <w:r>
        <w:rPr>
          <w:lang w:val="fr-CA"/>
        </w:rPr>
        <w:t xml:space="preserve">) et y récupère une référence à l’instance du serveur, de type </w:t>
      </w:r>
      <w:proofErr w:type="spellStart"/>
      <w:r>
        <w:rPr>
          <w:i/>
          <w:lang w:val="fr-CA"/>
        </w:rPr>
        <w:t>ServerInterface</w:t>
      </w:r>
      <w:proofErr w:type="spellEnd"/>
      <w:r>
        <w:rPr>
          <w:lang w:val="fr-CA"/>
        </w:rPr>
        <w:t>. Par la suite, les appels aux fonctions du serveur sont abstraits par Java RMI qui s’occupe de la traduction des références entre la machine locale et la machine distante.</w:t>
      </w:r>
    </w:p>
    <w:sectPr w:rsidR="009345A5" w:rsidRPr="00016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B"/>
    <w:rsid w:val="0001646B"/>
    <w:rsid w:val="00877AF9"/>
    <w:rsid w:val="009345A5"/>
    <w:rsid w:val="00D84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5A952"/>
  <w15:chartTrackingRefBased/>
  <w15:docId w15:val="{968AB539-808C-485C-9F72-B30AF39B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ou\Desktop\q1_a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Normal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(Sheet1!$B$1,Sheet1!$B$4,Sheet1!$B$7,Sheet1!$B$10,Sheet1!$B$13,Sheet1!$B$16,Sheet1!$B$19)</c:f>
              <c:numCache>
                <c:formatCode>General</c:formatCode>
                <c:ptCount val="7"/>
                <c:pt idx="0">
                  <c:v>10</c:v>
                </c:pt>
                <c:pt idx="1">
                  <c:v>100</c:v>
                </c:pt>
                <c:pt idx="2">
                  <c:v>1000</c:v>
                </c:pt>
                <c:pt idx="3">
                  <c:v>10000</c:v>
                </c:pt>
                <c:pt idx="4">
                  <c:v>100000</c:v>
                </c:pt>
                <c:pt idx="5">
                  <c:v>1000000</c:v>
                </c:pt>
                <c:pt idx="6">
                  <c:v>10000000</c:v>
                </c:pt>
              </c:numCache>
            </c:numRef>
          </c:xVal>
          <c:yVal>
            <c:numRef>
              <c:f>(Sheet1!$C$1,Sheet1!$C$4,Sheet1!$C$7,Sheet1!$C$10,Sheet1!$C$13,Sheet1!$C$16,Sheet1!$C$19)</c:f>
              <c:numCache>
                <c:formatCode>General</c:formatCode>
                <c:ptCount val="7"/>
                <c:pt idx="0">
                  <c:v>1921.6</c:v>
                </c:pt>
                <c:pt idx="1">
                  <c:v>585.4</c:v>
                </c:pt>
                <c:pt idx="2">
                  <c:v>569</c:v>
                </c:pt>
                <c:pt idx="3">
                  <c:v>3084.2</c:v>
                </c:pt>
                <c:pt idx="4">
                  <c:v>6218.8</c:v>
                </c:pt>
                <c:pt idx="5">
                  <c:v>109243.8</c:v>
                </c:pt>
                <c:pt idx="6">
                  <c:v>11437647.4</c:v>
                </c:pt>
              </c:numCache>
            </c:numRef>
          </c:yVal>
          <c:smooth val="1"/>
          <c:extLst>
            <c:ext xmlns:c16="http://schemas.microsoft.com/office/drawing/2014/chart" uri="{C3380CC4-5D6E-409C-BE32-E72D297353CC}">
              <c16:uniqueId val="{00000000-FED1-4948-B08C-B1F50343B71C}"/>
            </c:ext>
          </c:extLst>
        </c:ser>
        <c:ser>
          <c:idx val="1"/>
          <c:order val="1"/>
          <c:tx>
            <c:v>Local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(Sheet1!$B$2,Sheet1!$B$5,Sheet1!$B$8,Sheet1!$B$11,Sheet1!$B$14,Sheet1!$B$17,Sheet1!$B$20)</c:f>
              <c:numCache>
                <c:formatCode>General</c:formatCode>
                <c:ptCount val="7"/>
                <c:pt idx="0">
                  <c:v>10</c:v>
                </c:pt>
                <c:pt idx="1">
                  <c:v>100</c:v>
                </c:pt>
                <c:pt idx="2">
                  <c:v>1000</c:v>
                </c:pt>
                <c:pt idx="3">
                  <c:v>10000</c:v>
                </c:pt>
                <c:pt idx="4">
                  <c:v>100000</c:v>
                </c:pt>
                <c:pt idx="5">
                  <c:v>1000000</c:v>
                </c:pt>
                <c:pt idx="6">
                  <c:v>10000000</c:v>
                </c:pt>
              </c:numCache>
            </c:numRef>
          </c:xVal>
          <c:yVal>
            <c:numRef>
              <c:f>(Sheet1!$C$2,Sheet1!$C$5,Sheet1!$C$8,Sheet1!$C$11,Sheet1!$C$14,Sheet1!$C$17,Sheet1!$C$20)</c:f>
              <c:numCache>
                <c:formatCode>General</c:formatCode>
                <c:ptCount val="7"/>
                <c:pt idx="0">
                  <c:v>885441.8</c:v>
                </c:pt>
                <c:pt idx="1">
                  <c:v>499416.4</c:v>
                </c:pt>
                <c:pt idx="2">
                  <c:v>420652.6</c:v>
                </c:pt>
                <c:pt idx="3">
                  <c:v>508008.8</c:v>
                </c:pt>
                <c:pt idx="4">
                  <c:v>576734.4</c:v>
                </c:pt>
                <c:pt idx="5">
                  <c:v>18682362</c:v>
                </c:pt>
                <c:pt idx="6">
                  <c:v>39084800.600000001</c:v>
                </c:pt>
              </c:numCache>
            </c:numRef>
          </c:yVal>
          <c:smooth val="1"/>
          <c:extLst>
            <c:ext xmlns:c16="http://schemas.microsoft.com/office/drawing/2014/chart" uri="{C3380CC4-5D6E-409C-BE32-E72D297353CC}">
              <c16:uniqueId val="{00000001-FED1-4948-B08C-B1F50343B71C}"/>
            </c:ext>
          </c:extLst>
        </c:ser>
        <c:ser>
          <c:idx val="2"/>
          <c:order val="2"/>
          <c:tx>
            <c:v>Distant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(Sheet1!$B$3,Sheet1!$B$6,Sheet1!$B$9,Sheet1!$B$12,Sheet1!$B$15,Sheet1!$B$18,Sheet1!$B$21)</c:f>
              <c:numCache>
                <c:formatCode>General</c:formatCode>
                <c:ptCount val="7"/>
                <c:pt idx="0">
                  <c:v>10</c:v>
                </c:pt>
                <c:pt idx="1">
                  <c:v>100</c:v>
                </c:pt>
                <c:pt idx="2">
                  <c:v>1000</c:v>
                </c:pt>
                <c:pt idx="3">
                  <c:v>10000</c:v>
                </c:pt>
                <c:pt idx="4">
                  <c:v>100000</c:v>
                </c:pt>
                <c:pt idx="5">
                  <c:v>1000000</c:v>
                </c:pt>
                <c:pt idx="6">
                  <c:v>10000000</c:v>
                </c:pt>
              </c:numCache>
            </c:numRef>
          </c:xVal>
          <c:yVal>
            <c:numRef>
              <c:f>(Sheet1!$C$3,Sheet1!$C$6,Sheet1!$C$9,Sheet1!$C$12,Sheet1!$C$15,Sheet1!$C$18,Sheet1!$C$21)</c:f>
              <c:numCache>
                <c:formatCode>General</c:formatCode>
                <c:ptCount val="7"/>
                <c:pt idx="0">
                  <c:v>2376019.6</c:v>
                </c:pt>
                <c:pt idx="1">
                  <c:v>1141007.2</c:v>
                </c:pt>
                <c:pt idx="2">
                  <c:v>1163254</c:v>
                </c:pt>
                <c:pt idx="3">
                  <c:v>1986133.8</c:v>
                </c:pt>
                <c:pt idx="4">
                  <c:v>9662611</c:v>
                </c:pt>
                <c:pt idx="5">
                  <c:v>88975959</c:v>
                </c:pt>
                <c:pt idx="6">
                  <c:v>877804639.39999998</c:v>
                </c:pt>
              </c:numCache>
            </c:numRef>
          </c:yVal>
          <c:smooth val="1"/>
          <c:extLst>
            <c:ext xmlns:c16="http://schemas.microsoft.com/office/drawing/2014/chart" uri="{C3380CC4-5D6E-409C-BE32-E72D297353CC}">
              <c16:uniqueId val="{00000002-FED1-4948-B08C-B1F50343B71C}"/>
            </c:ext>
          </c:extLst>
        </c:ser>
        <c:dLbls>
          <c:showLegendKey val="0"/>
          <c:showVal val="0"/>
          <c:showCatName val="0"/>
          <c:showSerName val="0"/>
          <c:showPercent val="0"/>
          <c:showBubbleSize val="0"/>
        </c:dLbls>
        <c:axId val="490913976"/>
        <c:axId val="490917584"/>
      </c:scatterChart>
      <c:valAx>
        <c:axId val="490913976"/>
        <c:scaling>
          <c:logBase val="10"/>
          <c:orientation val="minMax"/>
          <c:max val="10000000"/>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Taille</a:t>
                </a:r>
                <a:r>
                  <a:rPr lang="en-US" baseline="0"/>
                  <a:t> des paquets (octets)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17584"/>
        <c:crosses val="autoZero"/>
        <c:crossBetween val="midCat"/>
      </c:valAx>
      <c:valAx>
        <c:axId val="4909175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d'exécution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913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E</dc:creator>
  <cp:keywords/>
  <dc:description/>
  <cp:lastModifiedBy>Salim E</cp:lastModifiedBy>
  <cp:revision>1</cp:revision>
  <dcterms:created xsi:type="dcterms:W3CDTF">2018-09-26T20:29:00Z</dcterms:created>
  <dcterms:modified xsi:type="dcterms:W3CDTF">2018-09-26T20:46:00Z</dcterms:modified>
</cp:coreProperties>
</file>