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ind w:right="0" w:firstLine="0" w:left="0"/>
        <w:rPr/>
      </w:pPr>
      <w:r>
        <w:t xml:space="preserve">Root Cause:</w:t>
        <w:br/>
        <w:t xml:space="preserve">The xz-utils backdoor incident was caused by social engineering and the infiltration of the project's maintainership. An attacker, posing as "Jia Tan," gained the trust of the xz-utils team and became a co-maintainer. The attacker took advanta</w:t>
      </w:r>
      <w:r>
        <w:t xml:space="preserve">ge of the maintainers' heavy workload and mental health struggles to introduce a backdoor over time. They bypassed security by disabling automated tests and embedding the malicious code in binary test files instead of the main source code.</w:t>
      </w:r>
      <w:r/>
    </w:p>
    <w:p>
      <w:pPr>
        <w:pBdr>
          <w:top w:val="none" w:color="000000" w:sz="4" w:space="0"/>
          <w:left w:val="none" w:color="000000" w:sz="4" w:space="0"/>
          <w:bottom w:val="none" w:color="000000" w:sz="4" w:space="0"/>
          <w:right w:val="none" w:color="000000" w:sz="4" w:space="0"/>
        </w:pBdr>
        <w:spacing/>
        <w:ind w:right="0" w:firstLine="0" w:left="0"/>
        <w:rPr/>
      </w:pPr>
      <w:r>
        <w:t xml:space="preserve">Impact:</w:t>
        <w:br/>
        <w:t xml:space="preserve"> The backdoor in xz-utils (versions 5.6.0 and 5.6.1) targeted OpenSSH authentication, allowing remote access to compromised systems. If undetected, this could have led to unauthorized control over millions of devices, including servers and embedded</w:t>
      </w:r>
      <w:r>
        <w:t xml:space="preserve"> systems. A vigilant developer caught the issue in time, preventing widespread exploitation. The incident highlights risks in open-source maintainership, weak security in CI/CD pipelines, and unverified contributions.</w:t>
      </w:r>
      <w:r/>
    </w:p>
    <w:p>
      <w:pPr>
        <w:pBdr>
          <w:top w:val="none" w:color="000000" w:sz="4" w:space="0"/>
          <w:left w:val="none" w:color="000000" w:sz="4" w:space="0"/>
          <w:bottom w:val="none" w:color="000000" w:sz="4" w:space="0"/>
          <w:right w:val="none" w:color="000000" w:sz="4" w:space="0"/>
        </w:pBdr>
        <w:spacing/>
        <w:ind w:right="0" w:firstLine="0" w:left="0"/>
        <w:rPr/>
      </w:pPr>
      <w:r>
        <w:t xml:space="preserve">CI/CD Risks Identified:</w:t>
      </w:r>
      <w:r/>
    </w:p>
    <w:p>
      <w:pPr>
        <w:pStyle w:val="664"/>
        <w:numPr>
          <w:ilvl w:val="0"/>
          <w:numId w:val="2"/>
        </w:numPr>
        <w:pBdr>
          <w:top w:val="none" w:color="000000" w:sz="4" w:space="0"/>
          <w:left w:val="none" w:color="000000" w:sz="4" w:space="0"/>
          <w:bottom w:val="none" w:color="000000" w:sz="4" w:space="0"/>
          <w:right w:val="none" w:color="000000" w:sz="4" w:space="0"/>
        </w:pBdr>
        <w:spacing/>
        <w:ind w:right="0"/>
        <w:rPr/>
      </w:pPr>
      <w:r>
        <w:t xml:space="preserve">Social Engineering of Maintainers: Attackers manipulated a maintainer into granting access to a co-maintainer who later introduced malicious changes.</w:t>
      </w:r>
      <w:r/>
    </w:p>
    <w:p>
      <w:pPr>
        <w:pStyle w:val="664"/>
        <w:numPr>
          <w:ilvl w:val="0"/>
          <w:numId w:val="2"/>
        </w:numPr>
        <w:pBdr>
          <w:top w:val="none" w:color="000000" w:sz="4" w:space="0"/>
          <w:left w:val="none" w:color="000000" w:sz="4" w:space="0"/>
          <w:bottom w:val="none" w:color="000000" w:sz="4" w:space="0"/>
          <w:right w:val="none" w:color="000000" w:sz="4" w:space="0"/>
        </w:pBdr>
        <w:spacing/>
        <w:ind w:right="0"/>
        <w:rPr/>
      </w:pPr>
      <w:r>
        <w:t xml:space="preserve">Weak Code Review Processes: Malicious changes in binary test files went unnoticed due to insufficient reviews.</w:t>
      </w:r>
      <w:r/>
    </w:p>
    <w:p>
      <w:pPr>
        <w:pStyle w:val="664"/>
        <w:numPr>
          <w:ilvl w:val="0"/>
          <w:numId w:val="2"/>
        </w:numPr>
        <w:pBdr>
          <w:top w:val="none" w:color="000000" w:sz="4" w:space="0"/>
          <w:left w:val="none" w:color="000000" w:sz="4" w:space="0"/>
          <w:bottom w:val="none" w:color="000000" w:sz="4" w:space="0"/>
          <w:right w:val="none" w:color="000000" w:sz="4" w:space="0"/>
        </w:pBdr>
        <w:spacing/>
        <w:ind w:right="0"/>
        <w:rPr/>
      </w:pPr>
      <w:r>
        <w:t xml:space="preserve">Bypassing Security Checks: Automated security tests were disabled, allowing vulnerabilities to remain hidden.</w:t>
      </w:r>
      <w:r/>
    </w:p>
    <w:p>
      <w:pPr>
        <w:pStyle w:val="664"/>
        <w:numPr>
          <w:ilvl w:val="0"/>
          <w:numId w:val="2"/>
        </w:numPr>
        <w:pBdr>
          <w:top w:val="none" w:color="000000" w:sz="4" w:space="0"/>
          <w:left w:val="none" w:color="000000" w:sz="4" w:space="0"/>
          <w:bottom w:val="none" w:color="000000" w:sz="4" w:space="0"/>
          <w:right w:val="none" w:color="000000" w:sz="4" w:space="0"/>
        </w:pBdr>
        <w:spacing/>
        <w:ind w:right="0"/>
        <w:rPr/>
      </w:pPr>
      <w:r>
        <w:t xml:space="preserve">Unverified Release Tarballs: Malicious code was embedded in release tarballs rather than the main repository.</w:t>
      </w:r>
      <w:r/>
    </w:p>
    <w:p>
      <w:pPr>
        <w:pStyle w:val="664"/>
        <w:numPr>
          <w:ilvl w:val="0"/>
          <w:numId w:val="2"/>
        </w:numPr>
        <w:pBdr>
          <w:top w:val="none" w:color="000000" w:sz="4" w:space="0"/>
          <w:left w:val="none" w:color="000000" w:sz="4" w:space="0"/>
          <w:bottom w:val="none" w:color="000000" w:sz="4" w:space="0"/>
          <w:right w:val="none" w:color="000000" w:sz="4" w:space="0"/>
        </w:pBdr>
        <w:spacing/>
        <w:ind w:right="0"/>
        <w:rPr/>
      </w:pPr>
      <w:r>
        <w:t xml:space="preserve">Over-reliance on Individual Maintainers: A single compromised maintainer was able to introduce critical security risks.</w:t>
      </w:r>
      <w:r/>
    </w:p>
    <w:p>
      <w:pPr>
        <w:pStyle w:val="664"/>
        <w:numPr>
          <w:ilvl w:val="0"/>
          <w:numId w:val="2"/>
        </w:numPr>
        <w:pBdr>
          <w:top w:val="none" w:color="000000" w:sz="4" w:space="0"/>
          <w:left w:val="none" w:color="000000" w:sz="4" w:space="0"/>
          <w:bottom w:val="none" w:color="000000" w:sz="4" w:space="0"/>
          <w:right w:val="none" w:color="000000" w:sz="4" w:space="0"/>
        </w:pBdr>
        <w:spacing/>
        <w:ind w:right="0"/>
        <w:rPr/>
      </w:pPr>
      <w:r>
        <w:t xml:space="preserve">Lack of Transparency in Binary Testing: Non-source-verified binary files hid the backdoor from detection.</w:t>
      </w:r>
      <w:r/>
    </w:p>
    <w:p>
      <w:pPr>
        <w:pStyle w:val="664"/>
        <w:numPr>
          <w:ilvl w:val="0"/>
          <w:numId w:val="2"/>
        </w:numPr>
        <w:pBdr>
          <w:top w:val="none" w:color="000000" w:sz="4" w:space="0"/>
          <w:left w:val="none" w:color="000000" w:sz="4" w:space="0"/>
          <w:bottom w:val="none" w:color="000000" w:sz="4" w:space="0"/>
          <w:right w:val="none" w:color="000000" w:sz="4" w:space="0"/>
        </w:pBdr>
        <w:spacing/>
        <w:ind w:right="0"/>
        <w:rPr/>
      </w:pPr>
      <w:r>
        <w:t xml:space="preserve">Pressure for Quick Adoption: Attackers pushed for fast adoption of compromised versions in major Linux distributions.</w:t>
      </w:r>
      <w:r/>
    </w:p>
    <w:p>
      <w:pPr>
        <w:pStyle w:val="664"/>
        <w:numPr>
          <w:ilvl w:val="0"/>
          <w:numId w:val="2"/>
        </w:numPr>
        <w:pBdr>
          <w:top w:val="none" w:color="000000" w:sz="4" w:space="0"/>
          <w:left w:val="none" w:color="000000" w:sz="4" w:space="0"/>
          <w:bottom w:val="none" w:color="000000" w:sz="4" w:space="0"/>
          <w:right w:val="none" w:color="000000" w:sz="4" w:space="0"/>
        </w:pBdr>
        <w:spacing/>
        <w:ind w:right="0"/>
        <w:rPr/>
      </w:pPr>
      <w:r>
        <w:t xml:space="preserve">Lack of Reproducible Builds: Discrepancies between source code and release tarballs made detection difficult.</w:t>
      </w:r>
      <w:r/>
    </w:p>
    <w:p>
      <w:pPr>
        <w:pBdr>
          <w:top w:val="none" w:color="000000" w:sz="4" w:space="0"/>
          <w:left w:val="none" w:color="000000" w:sz="4" w:space="0"/>
          <w:bottom w:val="none" w:color="000000" w:sz="4" w:space="0"/>
          <w:right w:val="none" w:color="000000" w:sz="4" w:space="0"/>
        </w:pBdr>
        <w:spacing/>
        <w:ind w:right="0" w:firstLine="0" w:left="0"/>
        <w:rPr/>
      </w:pPr>
      <w:r>
        <w:t xml:space="preserve">This incident emphasizes the need for stronger CI/CD security, better governance, and careful review of maintainers and contributors in open-source projects.</w:t>
      </w:r>
      <w:r/>
    </w:p>
    <w:p>
      <w:pPr>
        <w:pBdr/>
        <w:spacing/>
        <w:ind/>
        <w:rPr/>
      </w:pPr>
      <w:r>
        <w:rPr>
          <w:lang w:val="de-AT"/>
        </w:rPr>
      </w:r>
      <w:r/>
    </w:p>
    <w:sectPr>
      <w:head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F0502020204030204"/>
  </w:font>
  <w:font w:name="Calibri">
    <w:panose1 w:val="020F0502020204030204"/>
  </w:font>
  <w:font w:name="Times New Roman">
    <w:panose1 w:val="02040503050406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75"/>
      <w:pBdr/>
      <w:spacing/>
      <w:ind/>
      <w:rPr>
        <w:highlight w:val="none"/>
        <w:lang w:val="de-AT"/>
      </w:rPr>
    </w:pPr>
    <w:r>
      <w:rPr>
        <w:lang w:val="de-AT"/>
      </w:rPr>
      <w:t xml:space="preserve">Karim Salem</w:t>
      <w:tab/>
    </w:r>
    <w:r>
      <w:rPr>
        <w:lang w:val="de-AT"/>
      </w:rPr>
      <w:t xml:space="preserve">Research General CI/CD Risks</w:t>
    </w:r>
    <w:r>
      <w:rPr>
        <w:lang w:val="de-AT"/>
      </w:rPr>
      <w:tab/>
      <w:t xml:space="preserve">if22b240</w:t>
    </w:r>
    <w:r/>
  </w:p>
  <w:p>
    <w:pPr>
      <w:pStyle w:val="175"/>
      <w:pBdr/>
      <w:spacing/>
      <w:ind/>
      <w:rPr/>
    </w:pPr>
    <w:r>
      <w:rPr>
        <w:highlight w:val="none"/>
        <w:lang w:val="de-AT"/>
      </w:rPr>
    </w:r>
    <w:r>
      <w:rPr>
        <w:highlight w:val="none"/>
        <w:lang w:val="de-AT"/>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61"/>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6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6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6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6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6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6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6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6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6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6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6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6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6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6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6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6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6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6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6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6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6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6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6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6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6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6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6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6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6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6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6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6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6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6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6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6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6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6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6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6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6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6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6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6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6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6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6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6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6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6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6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6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6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6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6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6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6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6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6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6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60"/>
    <w:next w:val="660"/>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60"/>
    <w:next w:val="660"/>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60"/>
    <w:next w:val="660"/>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60"/>
    <w:next w:val="660"/>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60"/>
    <w:next w:val="660"/>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60"/>
    <w:next w:val="660"/>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60"/>
    <w:next w:val="660"/>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60"/>
    <w:next w:val="660"/>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60"/>
    <w:next w:val="660"/>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60"/>
    <w:next w:val="660"/>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60"/>
    <w:next w:val="660"/>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60"/>
    <w:next w:val="660"/>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60"/>
    <w:next w:val="660"/>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60"/>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60"/>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60"/>
    <w:next w:val="660"/>
    <w:uiPriority w:val="35"/>
    <w:unhideWhenUsed/>
    <w:qFormat/>
    <w:pPr>
      <w:pBdr/>
      <w:spacing w:after="200" w:line="240" w:lineRule="auto"/>
      <w:ind/>
    </w:pPr>
    <w:rPr>
      <w:i/>
      <w:iCs/>
      <w:color w:val="0e2841" w:themeColor="text2"/>
      <w:sz w:val="18"/>
      <w:szCs w:val="18"/>
    </w:rPr>
  </w:style>
  <w:style w:type="paragraph" w:styleId="180">
    <w:name w:val="footnote text"/>
    <w:basedOn w:val="660"/>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60"/>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660"/>
    <w:next w:val="660"/>
    <w:uiPriority w:val="39"/>
    <w:unhideWhenUsed/>
    <w:pPr>
      <w:pBdr/>
      <w:spacing w:after="100"/>
      <w:ind/>
    </w:pPr>
  </w:style>
  <w:style w:type="paragraph" w:styleId="189">
    <w:name w:val="toc 2"/>
    <w:basedOn w:val="660"/>
    <w:next w:val="660"/>
    <w:uiPriority w:val="39"/>
    <w:unhideWhenUsed/>
    <w:pPr>
      <w:pBdr/>
      <w:spacing w:after="100"/>
      <w:ind w:left="220"/>
    </w:pPr>
  </w:style>
  <w:style w:type="paragraph" w:styleId="190">
    <w:name w:val="toc 3"/>
    <w:basedOn w:val="660"/>
    <w:next w:val="660"/>
    <w:uiPriority w:val="39"/>
    <w:unhideWhenUsed/>
    <w:pPr>
      <w:pBdr/>
      <w:spacing w:after="100"/>
      <w:ind w:left="440"/>
    </w:pPr>
  </w:style>
  <w:style w:type="paragraph" w:styleId="191">
    <w:name w:val="toc 4"/>
    <w:basedOn w:val="660"/>
    <w:next w:val="660"/>
    <w:uiPriority w:val="39"/>
    <w:unhideWhenUsed/>
    <w:pPr>
      <w:pBdr/>
      <w:spacing w:after="100"/>
      <w:ind w:left="660"/>
    </w:pPr>
  </w:style>
  <w:style w:type="paragraph" w:styleId="192">
    <w:name w:val="toc 5"/>
    <w:basedOn w:val="660"/>
    <w:next w:val="660"/>
    <w:uiPriority w:val="39"/>
    <w:unhideWhenUsed/>
    <w:pPr>
      <w:pBdr/>
      <w:spacing w:after="100"/>
      <w:ind w:left="880"/>
    </w:pPr>
  </w:style>
  <w:style w:type="paragraph" w:styleId="193">
    <w:name w:val="toc 6"/>
    <w:basedOn w:val="660"/>
    <w:next w:val="660"/>
    <w:uiPriority w:val="39"/>
    <w:unhideWhenUsed/>
    <w:pPr>
      <w:pBdr/>
      <w:spacing w:after="100"/>
      <w:ind w:left="1100"/>
    </w:pPr>
  </w:style>
  <w:style w:type="paragraph" w:styleId="194">
    <w:name w:val="toc 7"/>
    <w:basedOn w:val="660"/>
    <w:next w:val="660"/>
    <w:uiPriority w:val="39"/>
    <w:unhideWhenUsed/>
    <w:pPr>
      <w:pBdr/>
      <w:spacing w:after="100"/>
      <w:ind w:left="1320"/>
    </w:pPr>
  </w:style>
  <w:style w:type="paragraph" w:styleId="195">
    <w:name w:val="toc 8"/>
    <w:basedOn w:val="660"/>
    <w:next w:val="660"/>
    <w:uiPriority w:val="39"/>
    <w:unhideWhenUsed/>
    <w:pPr>
      <w:pBdr/>
      <w:spacing w:after="100"/>
      <w:ind w:left="1540"/>
    </w:pPr>
  </w:style>
  <w:style w:type="paragraph" w:styleId="196">
    <w:name w:val="toc 9"/>
    <w:basedOn w:val="660"/>
    <w:next w:val="660"/>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660"/>
    <w:next w:val="660"/>
    <w:uiPriority w:val="99"/>
    <w:unhideWhenUsed/>
    <w:pPr>
      <w:pBdr/>
      <w:spacing w:after="0" w:afterAutospacing="0"/>
      <w:ind/>
    </w:pPr>
  </w:style>
  <w:style w:type="paragraph" w:styleId="660" w:default="1">
    <w:name w:val="Normal"/>
    <w:qFormat/>
    <w:pPr>
      <w:pBdr/>
      <w:spacing/>
      <w:ind/>
    </w:pPr>
  </w:style>
  <w:style w:type="table" w:styleId="66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2" w:default="1">
    <w:name w:val="No List"/>
    <w:uiPriority w:val="99"/>
    <w:semiHidden/>
    <w:unhideWhenUsed/>
    <w:pPr>
      <w:pBdr/>
      <w:spacing/>
      <w:ind/>
    </w:pPr>
  </w:style>
  <w:style w:type="paragraph" w:styleId="663">
    <w:name w:val="No Spacing"/>
    <w:basedOn w:val="660"/>
    <w:uiPriority w:val="1"/>
    <w:qFormat/>
    <w:pPr>
      <w:pBdr/>
      <w:spacing w:after="0" w:line="240" w:lineRule="auto"/>
      <w:ind/>
    </w:pPr>
  </w:style>
  <w:style w:type="paragraph" w:styleId="664">
    <w:name w:val="List Paragraph"/>
    <w:basedOn w:val="66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ONLYOFFICE/8.3.0.97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2025-03-14T09:52:49Z</dcterms:modified>
</cp:coreProperties>
</file>