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CI/CD Tools Research and Comparison</w:t>
      </w:r>
      <w:r>
        <w:rPr>
          <w:lang w:val="en-GB"/>
        </w:rPr>
      </w:r>
    </w:p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val="en-GB"/>
        </w:rPr>
        <w:t xml:space="preserve">Introduction</w:t>
      </w:r>
      <w:r>
        <w:rPr>
          <w:lang w:val="en-GB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en-GB"/>
        </w:rPr>
      </w:pPr>
      <w:r>
        <w:rPr>
          <w:rFonts w:ascii="Times New Roman" w:hAnsi="Times New Roman" w:eastAsia="Times New Roman" w:cs="Times New Roman"/>
          <w:color w:val="000000"/>
          <w:sz w:val="24"/>
          <w:lang w:val="en-GB"/>
        </w:rPr>
        <w:t xml:space="preserve">This document compares three CI/CD tools—GitLab CI/CD, GitHub Actions, and Jenkins—based on specific criteria relevant to a software development project. The tools are evaluated across functionality, scalability, ease of use, security, and cost to determin</w:t>
      </w:r>
      <w:r>
        <w:rPr>
          <w:rFonts w:ascii="Times New Roman" w:hAnsi="Times New Roman" w:eastAsia="Times New Roman" w:cs="Times New Roman"/>
          <w:color w:val="000000"/>
          <w:sz w:val="24"/>
          <w:lang w:val="en-GB"/>
        </w:rPr>
        <w:t xml:space="preserve">e the best fit for the project.</w:t>
      </w:r>
      <w:r>
        <w:rPr>
          <w:lang w:val="en-GB"/>
        </w:rPr>
      </w:r>
    </w:p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val="en-GB"/>
        </w:rPr>
        <w:t xml:space="preserve">Selected CI/CD Tools</w:t>
      </w:r>
      <w:r>
        <w:rPr>
          <w:lang w:val="en-GB"/>
        </w:rPr>
      </w:r>
    </w:p>
    <w:p>
      <w:pPr>
        <w:pStyle w:val="899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GitLab CI/CD</w:t>
      </w:r>
      <w:r>
        <w:rPr>
          <w:lang w:val="en-GB"/>
        </w:rPr>
      </w:r>
    </w:p>
    <w:p>
      <w:pPr>
        <w:pStyle w:val="899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GitHub Actions</w:t>
      </w:r>
      <w:r>
        <w:rPr>
          <w:lang w:val="en-GB"/>
        </w:rPr>
      </w:r>
    </w:p>
    <w:p>
      <w:pPr>
        <w:pStyle w:val="899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Jenkins</w:t>
      </w:r>
      <w:r>
        <w:rPr>
          <w:lang w:val="en-GB"/>
        </w:rPr>
      </w:r>
      <w:r>
        <w:rPr>
          <w:lang w:val="en-GB"/>
        </w:rPr>
      </w:r>
    </w:p>
    <w:p>
      <w:pPr>
        <w:pBdr/>
        <w:spacing/>
        <w:ind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val="en-GB"/>
        </w:rPr>
        <w:t xml:space="preserve">Comparison Criteria</w:t>
      </w:r>
      <w:r>
        <w:rPr>
          <w:lang w:val="en-GB"/>
        </w:rPr>
      </w:r>
    </w:p>
    <w:p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1. Features and Functionality</w:t>
        <w:br/>
      </w:r>
      <w:r>
        <w:rPr>
          <w:lang w:val="en-GB"/>
        </w:rPr>
      </w:r>
    </w:p>
    <w:tbl>
      <w:tblPr>
        <w:tblStyle w:val="711"/>
        <w:tblW w:w="0" w:type="auto"/>
        <w:tblInd w:w="-59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260"/>
        <w:gridCol w:w="2976"/>
        <w:gridCol w:w="269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Criteria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GitLab CI/CD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GitHub Actions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Jenkins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Support for tech stack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Strong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 GitLab, Kubernetes, and Docker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integrati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 and multiple language support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Deep GitHub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de-AT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 integration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, supports various languages and cloud providers.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Highly customizable with plugins, supports all major languages.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Pipeline flexibility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YAML-based configuration with extensive customization.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YAML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de-AT"/>
              </w:rPr>
              <w:t xml:space="preserve">config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de-AT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with GitHub-hosted and self-hosted runners.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Fully customizable with pipelines, but requires more setup.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Automated testing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Supports parallel test execution, detailed reporting, and integrations with testing frameworks.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Supports testing automation via workflows and external integrations.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Plugin-dependent but highly flexible.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Deployment options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Works well with Kubernetes, cloud providers, and on-premise.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Native GitHub integration for cloud deployments, with self-hosted options.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Supports all deployment types but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de-AT"/>
              </w:rPr>
              <w:t xml:space="preserve">may nedd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de-AT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additional plugins and configuration.</w:t>
            </w:r>
            <w:r>
              <w:rPr>
                <w:lang w:val="en-GB"/>
              </w:rPr>
            </w:r>
          </w:p>
        </w:tc>
      </w:tr>
    </w:tbl>
    <w:p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  <w:lang w:val="en-GB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  <w:lang w:val="en-GB"/>
        </w:rPr>
      </w:r>
    </w:p>
    <w:p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2. Scalability and Performance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en-GB"/>
        </w:rPr>
      </w:r>
    </w:p>
    <w:tbl>
      <w:tblPr>
        <w:tblStyle w:val="711"/>
        <w:tblW w:w="0" w:type="auto"/>
        <w:tblInd w:w="-59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260"/>
        <w:gridCol w:w="2976"/>
        <w:gridCol w:w="269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Criteria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GitLab CI/CD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GitHub Actions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Jenkins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Handling workload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Scales well with GitLab Runners but may require dedicated resources for large workloads.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Scales efficiently with GitHub-hosted and self-hosted runners.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Scales well but requires manual configuration and maintenance.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Resource utilization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Optimized CI/CD execution with caching and parallel execution.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Efficient execution on GitHub runners, but heavy workloads may require self-hosted runners.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Can be resource-intensive; optimization depends on configuration.</w:t>
            </w:r>
            <w:r>
              <w:rPr>
                <w:lang w:val="en-GB"/>
              </w:rPr>
            </w:r>
          </w:p>
        </w:tc>
      </w:tr>
    </w:tbl>
    <w:p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  <w:lang w:val="en-GB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  <w:lang w:val="en-GB"/>
        </w:rPr>
      </w:r>
      <w:r>
        <w:rPr>
          <w:lang w:val="en-GB"/>
        </w:rPr>
      </w:r>
    </w:p>
    <w:p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3. Ease of Use and Integration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en-GB"/>
        </w:rPr>
      </w:r>
    </w:p>
    <w:tbl>
      <w:tblPr>
        <w:tblStyle w:val="711"/>
        <w:tblW w:w="0" w:type="auto"/>
        <w:tblInd w:w="-59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985"/>
        <w:gridCol w:w="2968"/>
        <w:gridCol w:w="269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Criteria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GitLab CI/CD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6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GitHub Actions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Jenkins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User interface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Intuitive UI with built-in CI/CD pipeline visualization.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6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Integrated into GitHub with a simple workflow setup.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Web UI can be complex, requires Jenkinsfiles for configuration.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Tool integrations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Deep GitLab integration, supports external services via APIs.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6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Seamless GitHub integration with marketplace actions.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Highly extensible via plugins but requires manual setup.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Documentation &amp; support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Well-documented, active community support, and official resources.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6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Extensive GitHub documentation, community-driven solutions.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Strong community support, but documentation is sometimes outdated.</w:t>
            </w:r>
            <w:r>
              <w:rPr>
                <w:lang w:val="en-GB"/>
              </w:rPr>
            </w:r>
          </w:p>
        </w:tc>
      </w:tr>
    </w:tbl>
    <w:p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  <w:lang w:val="en-GB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  <w:lang w:val="en-GB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en-GB"/>
        </w:rPr>
      </w:r>
    </w:p>
    <w:p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4. Security and Compliance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en-GB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en-GB"/>
        </w:rPr>
      </w:r>
    </w:p>
    <w:tbl>
      <w:tblPr>
        <w:tblStyle w:val="711"/>
        <w:tblW w:w="0" w:type="auto"/>
        <w:tblInd w:w="-59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976"/>
        <w:gridCol w:w="2976"/>
        <w:gridCol w:w="269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Criteria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GitLab CI/CD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GitHub Actions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Jenkins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Access control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Granular permissions, role-based access control.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GitHub repository-based permissions with fine-tuned settings.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Customizable but requires plugins and external authentication.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Compliance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Supports industry standards (SOC 2, ISO 27001, etc.).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Compliant with GitHub's security policies.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Depends on how Jenkins is configured.</w:t>
            </w:r>
            <w:r>
              <w:rPr>
                <w:lang w:val="en-GB"/>
              </w:rPr>
            </w:r>
          </w:p>
        </w:tc>
      </w:tr>
    </w:tbl>
    <w:p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  <w:lang w:val="en-GB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  <w:lang w:val="en-GB"/>
        </w:rPr>
      </w:r>
      <w:r>
        <w:rPr>
          <w:lang w:val="en-GB"/>
        </w:rPr>
      </w:r>
    </w:p>
    <w:p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5. Cost and Value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en-GB"/>
        </w:rPr>
      </w:r>
    </w:p>
    <w:tbl>
      <w:tblPr>
        <w:tblStyle w:val="711"/>
        <w:tblW w:w="0" w:type="auto"/>
        <w:tblInd w:w="-59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976"/>
        <w:gridCol w:w="2976"/>
        <w:gridCol w:w="269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Criteria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GitLab CI/CD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GitHub Actions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Jenkins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Pricing model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Free for public repos, paid tiers for more runners and features.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Free for public repos, limited free usage for private projects, paid tiers for more resources.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Free, but hosting costs can be high.</w:t>
            </w:r>
            <w:r>
              <w:rPr>
                <w:lang w:val="en-GB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lang w:val="en-GB"/>
              </w:rPr>
              <w:t xml:space="preserve">Total cost of ownership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Cost-efficient for GitLab users; enterprise features require premium plans.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Lower cost for GitHub-based projects; self-hosted runners require additional setup.</w:t>
            </w:r>
            <w:r>
              <w:rPr>
                <w:lang w:val="en-GB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lang w:val="en-GB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lang w:val="en-GB"/>
              </w:rPr>
              <w:t xml:space="preserve">Requires infrastructure and maintenance, which increases costs.</w:t>
            </w:r>
            <w:r>
              <w:rPr>
                <w:lang w:val="en-GB"/>
              </w:rPr>
            </w:r>
          </w:p>
        </w:tc>
      </w:tr>
    </w:tbl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  <w:lang w:val="en-GB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  <w:lang w:val="en-GB"/>
        </w:rPr>
      </w:r>
    </w:p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val="en-GB"/>
        </w:rPr>
        <w:t xml:space="preserve">Final Ranking &amp; Conclusion</w:t>
      </w:r>
      <w:r>
        <w:rPr>
          <w:lang w:val="en-GB"/>
        </w:rPr>
      </w:r>
    </w:p>
    <w:p>
      <w:pPr>
        <w:pStyle w:val="899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GitHub Actions</w:t>
      </w:r>
      <w:r>
        <w:rPr>
          <w:rFonts w:ascii="Times New Roman" w:hAnsi="Times New Roman" w:eastAsia="Times New Roman" w:cs="Times New Roman"/>
          <w:color w:val="000000"/>
          <w:sz w:val="24"/>
          <w:lang w:val="en-GB"/>
        </w:rPr>
        <w:t xml:space="preserve"> – Best choice for projects hosted on GitHub due to its deep integration, ease of use, and scalable cloud-based execution.</w:t>
      </w:r>
      <w:r>
        <w:rPr>
          <w:lang w:val="en-GB"/>
        </w:rPr>
      </w:r>
    </w:p>
    <w:p>
      <w:pPr>
        <w:pStyle w:val="899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GitLab CI/CD</w:t>
      </w:r>
      <w:r>
        <w:rPr>
          <w:rFonts w:ascii="Times New Roman" w:hAnsi="Times New Roman" w:eastAsia="Times New Roman" w:cs="Times New Roman"/>
          <w:color w:val="000000"/>
          <w:sz w:val="24"/>
          <w:lang w:val="en-GB"/>
        </w:rPr>
        <w:t xml:space="preserve"> – Ideal for teams already using GitLab, offering robust pipeline flexibility and strong security features.</w:t>
      </w:r>
      <w:r>
        <w:rPr>
          <w:lang w:val="en-GB"/>
        </w:rPr>
      </w:r>
    </w:p>
    <w:p>
      <w:pPr>
        <w:pStyle w:val="899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lang w:val="en-GB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Jenkins</w:t>
      </w:r>
      <w:r>
        <w:rPr>
          <w:rFonts w:ascii="Times New Roman" w:hAnsi="Times New Roman" w:eastAsia="Times New Roman" w:cs="Times New Roman"/>
          <w:color w:val="000000"/>
          <w:sz w:val="24"/>
          <w:lang w:val="en-GB"/>
        </w:rPr>
        <w:t xml:space="preserve"> – Best for highly customizable, complex workflows but requires more setup and maintenance.</w:t>
      </w:r>
      <w:r>
        <w:rPr>
          <w:lang w:val="en-GB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en-GB"/>
        </w:rPr>
      </w:pPr>
      <w:r>
        <w:rPr>
          <w:rFonts w:ascii="Times New Roman" w:hAnsi="Times New Roman" w:eastAsia="Times New Roman" w:cs="Times New Roman"/>
          <w:color w:val="000000"/>
          <w:sz w:val="24"/>
          <w:lang w:val="en-GB"/>
        </w:rPr>
        <w:t xml:space="preserve">Based on these findings, </w:t>
      </w:r>
      <w:r>
        <w:rPr>
          <w:rFonts w:ascii="Times New Roman" w:hAnsi="Times New Roman" w:eastAsia="Times New Roman" w:cs="Times New Roman"/>
          <w:b/>
          <w:color w:val="000000"/>
          <w:sz w:val="24"/>
          <w:lang w:val="en-GB"/>
        </w:rPr>
        <w:t xml:space="preserve">GitHub Actions</w:t>
      </w:r>
      <w:r>
        <w:rPr>
          <w:rFonts w:ascii="Times New Roman" w:hAnsi="Times New Roman" w:eastAsia="Times New Roman" w:cs="Times New Roman"/>
          <w:color w:val="000000"/>
          <w:sz w:val="24"/>
          <w:lang w:val="en-GB"/>
        </w:rPr>
        <w:t xml:space="preserve"> is the most suitable CI/CD tool for the project due to its seamless integration, automation capabilities, and cloud scalability.</w:t>
      </w:r>
      <w:r>
        <w:rPr>
          <w:lang w:val="en-GB"/>
        </w:rPr>
      </w:r>
    </w:p>
    <w:p>
      <w:pPr>
        <w:pBdr/>
        <w:spacing/>
        <w:ind/>
        <w:rPr>
          <w:lang w:val="en-GB"/>
        </w:rPr>
      </w:pPr>
      <w:r>
        <w:rPr>
          <w:lang w:val="en-GB"/>
        </w:rPr>
      </w:r>
      <w:r>
        <w:rPr>
          <w:lang w:val="en-GB"/>
        </w:rPr>
      </w:r>
    </w:p>
    <w:sectPr>
      <w:head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40503050406030204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71"/>
      <w:pBdr/>
      <w:spacing/>
      <w:ind/>
      <w:rPr/>
    </w:pPr>
    <w:r>
      <w:rPr>
        <w:lang w:val="de-AT"/>
      </w:rPr>
      <w:t xml:space="preserve">Karim Salem</w:t>
      <w:tab/>
      <w:t xml:space="preserve">CICD1</w:t>
      <w:tab/>
      <w:t xml:space="preserve">if22b240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5"/>
    <w:next w:val="895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5"/>
    <w:next w:val="895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5"/>
    <w:next w:val="895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5"/>
    <w:next w:val="895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5"/>
    <w:next w:val="895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5"/>
    <w:next w:val="895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5"/>
    <w:next w:val="895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5"/>
    <w:next w:val="895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5"/>
    <w:next w:val="895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5"/>
    <w:next w:val="895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5"/>
    <w:next w:val="895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5"/>
    <w:next w:val="895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5"/>
    <w:next w:val="895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5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5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5"/>
    <w:next w:val="89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5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5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5"/>
    <w:next w:val="895"/>
    <w:uiPriority w:val="39"/>
    <w:unhideWhenUsed/>
    <w:pPr>
      <w:pBdr/>
      <w:spacing w:after="100"/>
      <w:ind/>
    </w:pPr>
  </w:style>
  <w:style w:type="paragraph" w:styleId="885">
    <w:name w:val="toc 2"/>
    <w:basedOn w:val="895"/>
    <w:next w:val="895"/>
    <w:uiPriority w:val="39"/>
    <w:unhideWhenUsed/>
    <w:pPr>
      <w:pBdr/>
      <w:spacing w:after="100"/>
      <w:ind w:left="220"/>
    </w:pPr>
  </w:style>
  <w:style w:type="paragraph" w:styleId="886">
    <w:name w:val="toc 3"/>
    <w:basedOn w:val="895"/>
    <w:next w:val="895"/>
    <w:uiPriority w:val="39"/>
    <w:unhideWhenUsed/>
    <w:pPr>
      <w:pBdr/>
      <w:spacing w:after="100"/>
      <w:ind w:left="440"/>
    </w:pPr>
  </w:style>
  <w:style w:type="paragraph" w:styleId="887">
    <w:name w:val="toc 4"/>
    <w:basedOn w:val="895"/>
    <w:next w:val="895"/>
    <w:uiPriority w:val="39"/>
    <w:unhideWhenUsed/>
    <w:pPr>
      <w:pBdr/>
      <w:spacing w:after="100"/>
      <w:ind w:left="660"/>
    </w:pPr>
  </w:style>
  <w:style w:type="paragraph" w:styleId="888">
    <w:name w:val="toc 5"/>
    <w:basedOn w:val="895"/>
    <w:next w:val="895"/>
    <w:uiPriority w:val="39"/>
    <w:unhideWhenUsed/>
    <w:pPr>
      <w:pBdr/>
      <w:spacing w:after="100"/>
      <w:ind w:left="880"/>
    </w:pPr>
  </w:style>
  <w:style w:type="paragraph" w:styleId="889">
    <w:name w:val="toc 6"/>
    <w:basedOn w:val="895"/>
    <w:next w:val="895"/>
    <w:uiPriority w:val="39"/>
    <w:unhideWhenUsed/>
    <w:pPr>
      <w:pBdr/>
      <w:spacing w:after="100"/>
      <w:ind w:left="1100"/>
    </w:pPr>
  </w:style>
  <w:style w:type="paragraph" w:styleId="890">
    <w:name w:val="toc 7"/>
    <w:basedOn w:val="895"/>
    <w:next w:val="895"/>
    <w:uiPriority w:val="39"/>
    <w:unhideWhenUsed/>
    <w:pPr>
      <w:pBdr/>
      <w:spacing w:after="100"/>
      <w:ind w:left="1320"/>
    </w:pPr>
  </w:style>
  <w:style w:type="paragraph" w:styleId="891">
    <w:name w:val="toc 8"/>
    <w:basedOn w:val="895"/>
    <w:next w:val="895"/>
    <w:uiPriority w:val="39"/>
    <w:unhideWhenUsed/>
    <w:pPr>
      <w:pBdr/>
      <w:spacing w:after="100"/>
      <w:ind w:left="1540"/>
    </w:pPr>
  </w:style>
  <w:style w:type="paragraph" w:styleId="892">
    <w:name w:val="toc 9"/>
    <w:basedOn w:val="895"/>
    <w:next w:val="895"/>
    <w:uiPriority w:val="39"/>
    <w:unhideWhenUsed/>
    <w:pPr>
      <w:pBdr/>
      <w:spacing w:after="100"/>
      <w:ind w:left="1760"/>
    </w:pPr>
  </w:style>
  <w:style w:type="paragraph" w:styleId="893">
    <w:name w:val="TOC Heading"/>
    <w:uiPriority w:val="39"/>
    <w:unhideWhenUsed/>
    <w:pPr>
      <w:pBdr/>
      <w:spacing/>
      <w:ind/>
    </w:pPr>
  </w:style>
  <w:style w:type="paragraph" w:styleId="894">
    <w:name w:val="table of figures"/>
    <w:basedOn w:val="895"/>
    <w:next w:val="895"/>
    <w:uiPriority w:val="99"/>
    <w:unhideWhenUsed/>
    <w:pPr>
      <w:pBdr/>
      <w:spacing w:after="0" w:afterAutospacing="0"/>
      <w:ind/>
    </w:pPr>
  </w:style>
  <w:style w:type="paragraph" w:styleId="895" w:default="1">
    <w:name w:val="Normal"/>
    <w:qFormat/>
    <w:pPr>
      <w:pBdr/>
      <w:spacing/>
      <w:ind/>
    </w:pPr>
  </w:style>
  <w:style w:type="table" w:styleId="89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7" w:default="1">
    <w:name w:val="No List"/>
    <w:uiPriority w:val="99"/>
    <w:semiHidden/>
    <w:unhideWhenUsed/>
    <w:pPr>
      <w:pBdr/>
      <w:spacing/>
      <w:ind/>
    </w:pPr>
  </w:style>
  <w:style w:type="paragraph" w:styleId="898">
    <w:name w:val="No Spacing"/>
    <w:basedOn w:val="895"/>
    <w:uiPriority w:val="1"/>
    <w:qFormat/>
    <w:pPr>
      <w:pBdr/>
      <w:spacing w:after="0" w:line="240" w:lineRule="auto"/>
      <w:ind/>
    </w:pPr>
  </w:style>
  <w:style w:type="paragraph" w:styleId="899">
    <w:name w:val="List Paragraph"/>
    <w:basedOn w:val="89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ONLYOFFICE/8.3.0.97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2025-02-27T22:52:20Z</dcterms:modified>
</cp:coreProperties>
</file>