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r>
        <w:rPr>
          <w:b/>
          <w:bCs/>
        </w:rPr>
        <w:t xml:space="preserve">Language: </w:t>
      </w:r>
      <w:r>
        <w:t xml:space="preserve">Pedi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Ntlo ya thaba e a ke kgona</w:t>
      </w:r>
    </w:p>
    <w:p>
      <w:pPr>
        <w:jc w:val="center"/>
      </w:pPr>
      <w:r>
        <w:t xml:space="preserve">Thaba e the fela ka moloto</w:t>
      </w:r>
    </w:p>
    <w:p>
      <w:pPr>
        <w:jc w:val="center"/>
      </w:pPr>
      <w:r>
        <w:t xml:space="preserve">Bohlatswana ba bangwe bao</w:t>
      </w:r>
    </w:p>
    <w:p>
      <w:pPr>
        <w:jc w:val="center"/>
      </w:pPr>
      <w:r>
        <w:t xml:space="preserve">Ba bonafatšego ka moloto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Ntlo ya thaba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E tla se go realo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2026-07-06T07:14:19.959Z</dcterms:created>
  <dcterms:modified xsi:type="dcterms:W3CDTF">2026-07-06T07:14:19.959Z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