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Baba Vakanaka</w:t>
      </w:r>
    </w:p>
    <w:p>
      <w:pPr>
        <w:jc w:val="center"/>
      </w:pPr>
      <w:r>
        <w:rPr>
          <w:i/>
          <w:iCs/>
          <w:color w:val="666666"/>
        </w:rPr>
        <w:t xml:space="preserve">Good Good Father Shona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Popularity: </w:t>
      </w:r>
      <w:r>
        <w:t xml:space="preserve">YouTube gospel · TikTok Zimbabwe</w:t>
      </w:r>
    </w:p>
    <w:p>
      <w:r>
        <w:rPr>
          <w:b/>
          <w:bCs/>
        </w:rPr>
        <w:t xml:space="preserve">Artist: </w:t>
      </w:r>
      <w:r>
        <w:t xml:space="preserve">Chris Tomlin (Shona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Vakanaka (Shona)</dc:title>
  <dc:creator>Johannesburg Bible Study Church</dc:creator>
  <dc:description>Shona rendition of "Good Good Father". A favourite in Zimbabwe's Apostolic and Pentecostal churches.</dc:description>
  <cp:lastModifiedBy>Un-named</cp:lastModifiedBy>
  <cp:revision>1</cp:revision>
  <dcterms:created xsi:type="dcterms:W3CDTF">2026-10-25T11:01:34.372Z</dcterms:created>
  <dcterms:modified xsi:type="dcterms:W3CDTF">2026-10-25T11:01:34.372Z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