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sz w:val="36"/>
          <w:szCs w:val="36"/>
        </w:rPr>
        <w:t xml:space="preserve">WAIVER AND RELEASE AGREEMENT</w:t>
      </w:r>
    </w:p>
    <w:p>
      <w:pPr>
        <w:spacing w:after="80"/>
      </w:pPr>
      <w:r>
        <w:rPr>
          <w:i/>
          <w:iCs/>
          <w:color w:val="666666"/>
          <w:sz w:val="20"/>
          <w:szCs w:val="20"/>
        </w:rPr>
        <w:t xml:space="preserve">Last Updated: [DATE]</w:t>
      </w:r>
    </w:p>
    <w:p>
      <w:pPr>
        <w:pBdr>
          <w:bottom w:val="single" w:color="333333" w:sz="6" w:space="1"/>
        </w:pBdr>
        <w:spacing w:after="400"/>
      </w:pPr>
    </w:p>
    <w:p>
      <w:pPr>
        <w:spacing w:after="200"/>
      </w:pPr>
      <w:r>
        <w:t xml:space="preserve">This Waiver and Release Agreement (“Agreement”) sets forth the terms and conditions governing the purchase, handling, and research use of products provided by [COMPANY NAME] (“the Company”). By purchasing or using any product from the Company, you agree to the terms outlined herein. </w:t>
      </w:r>
      <w:r>
        <w:rPr>
          <w:b/>
          <w:bCs/>
        </w:rPr>
        <w:t xml:space="preserve">Please review this Agreement carefully before completing your purchase.</w:t>
      </w:r>
    </w:p>
    <w:p>
      <w:pPr>
        <w:pStyle w:val="Heading1"/>
      </w:pPr>
      <w:r>
        <w:t xml:space="preserve">1. Acknowledgment of Research Risks</w:t>
      </w:r>
    </w:p>
    <w:p>
      <w:pPr>
        <w:spacing w:after="200"/>
      </w:pPr>
      <w:r>
        <w:t xml:space="preserve">You acknowledge and agree that experimental research chemicals and peptides involve inherent risks and uncertainties. These products are provided strictly for in-vitro laboratory research purposes and are </w:t>
      </w:r>
      <w:r>
        <w:rPr>
          <w:b/>
          <w:bCs/>
        </w:rPr>
        <w:t xml:space="preserve">not intended for human or animal consumption, injection, ingestion, inhalation, or any therapeutic or diagnostic application</w:t>
      </w:r>
      <w:r>
        <w:t xml:space="preserve">.</w:t>
      </w:r>
    </w:p>
    <w:p>
      <w:pPr>
        <w:spacing w:after="200"/>
      </w:pPr>
      <w:r>
        <w:rPr>
          <w:b/>
          <w:bCs/>
          <w:color w:val="C0392B"/>
        </w:rPr>
        <w:t xml:space="preserve">IMPORTANT: </w:t>
      </w:r>
      <w:r>
        <w:t xml:space="preserve">These products have not been evaluated, tested, or approved by any regulatory authority—including the FDA, EMA, or any equivalent body—for safety, efficacy, or quality for human use. By purchasing and handling these products, you assume all risks associated with their research use, including risks arising from the experimental and uncharacterized nature of the materials.</w:t>
      </w:r>
    </w:p>
    <w:p>
      <w:pPr>
        <w:pStyle w:val="Heading1"/>
      </w:pPr>
      <w:r>
        <w:t xml:space="preserve">2. Product Intended Use</w:t>
      </w:r>
    </w:p>
    <w:p>
      <w:pPr>
        <w:spacing w:after="120"/>
      </w:pPr>
      <w:r>
        <w:t xml:space="preserve">All products are exclusively intended for in-vitro laboratory research. They are expressly not designed, tested, or approved for:</w:t>
      </w:r>
    </w:p>
    <w:p>
      <w:pPr>
        <w:pStyle w:val="ListParagraph"/>
        <w:numPr>
          <w:ilvl w:val="0"/>
          <w:numId w:val="2"/>
        </w:numPr>
        <w:spacing w:after="60"/>
      </w:pPr>
      <w:r>
        <w:rPr>
          <w:sz w:val="22"/>
          <w:szCs w:val="22"/>
        </w:rPr>
        <w:t xml:space="preserve">Human or animal consumption, injection, or administration by any route</w:t>
      </w:r>
    </w:p>
    <w:p>
      <w:pPr>
        <w:pStyle w:val="ListParagraph"/>
        <w:numPr>
          <w:ilvl w:val="0"/>
          <w:numId w:val="2"/>
        </w:numPr>
        <w:spacing w:after="60"/>
      </w:pPr>
      <w:r>
        <w:rPr>
          <w:sz w:val="22"/>
          <w:szCs w:val="22"/>
        </w:rPr>
        <w:t xml:space="preserve">Diagnostic or therapeutic procedures of any kind</w:t>
      </w:r>
    </w:p>
    <w:p>
      <w:pPr>
        <w:pStyle w:val="ListParagraph"/>
        <w:numPr>
          <w:ilvl w:val="0"/>
          <w:numId w:val="2"/>
        </w:numPr>
        <w:spacing w:after="60"/>
      </w:pPr>
      <w:r>
        <w:rPr>
          <w:sz w:val="22"/>
          <w:szCs w:val="22"/>
        </w:rPr>
        <w:t xml:space="preserve">Use in food, drugs, cosmetics, medical devices, or dietary supplements</w:t>
      </w:r>
    </w:p>
    <w:p>
      <w:pPr>
        <w:pStyle w:val="ListParagraph"/>
        <w:numPr>
          <w:ilvl w:val="0"/>
          <w:numId w:val="2"/>
        </w:numPr>
        <w:spacing w:after="60"/>
      </w:pPr>
      <w:r>
        <w:rPr>
          <w:sz w:val="22"/>
          <w:szCs w:val="22"/>
        </w:rPr>
        <w:t xml:space="preserve">Any clinical, veterinary, or patient-facing application</w:t>
      </w:r>
    </w:p>
    <w:p>
      <w:pPr>
        <w:spacing w:before="80" w:after="200"/>
      </w:pPr>
      <w:r>
        <w:t xml:space="preserve">By purchasing products, you agree to comply with all applicable laws, regulations, and ethical guidelines governing the use of research materials in your jurisdiction.</w:t>
      </w:r>
    </w:p>
    <w:p>
      <w:pPr>
        <w:pStyle w:val="Heading1"/>
      </w:pPr>
      <w:r>
        <w:t xml:space="preserve">3. International Nonproprietary Names (INN)</w:t>
      </w:r>
    </w:p>
    <w:p>
      <w:pPr>
        <w:spacing w:after="200"/>
      </w:pPr>
      <w:r>
        <w:t xml:space="preserve">Certain product names used on the Company’s Website are recognized International Nonproprietary Names (INN) established by the World Health Organization (WHO). These designations are not subject to trademark protection and are used solely to identify the underlying chemical substances for research reference purposes. The use of INN nomenclature does not imply any affiliation with, endorsement by, or equivalence to approved pharmaceutical products bearing the same name.</w:t>
      </w:r>
    </w:p>
    <w:p>
      <w:pPr>
        <w:pStyle w:val="Heading1"/>
      </w:pPr>
      <w:r>
        <w:t xml:space="preserve">4. Waiver and Release of Claims</w:t>
      </w:r>
    </w:p>
    <w:p>
      <w:pPr>
        <w:spacing w:after="200"/>
      </w:pPr>
      <w:r>
        <w:t xml:space="preserve">By purchasing any product from the Company, you voluntarily, knowingly, and irrevocably waive, release, and forever discharge the Company, its affiliates, officers, directors, employees, agents, successors, and assigns from any and all claims, actions, demands, liabilities, damages, losses, costs, and expenses (including legal fees) of any kind, whether known or unknown, arising from or related to the purchase, possession, handling, storage, transport, or research use of products.</w:t>
      </w:r>
    </w:p>
    <w:p>
      <w:pPr>
        <w:spacing w:after="120"/>
      </w:pPr>
      <w:r>
        <w:t xml:space="preserve">This waiver includes, but is not limited to, claims for:</w:t>
      </w:r>
    </w:p>
    <w:p>
      <w:pPr>
        <w:pStyle w:val="ListParagraph"/>
        <w:numPr>
          <w:ilvl w:val="0"/>
          <w:numId w:val="2"/>
        </w:numPr>
        <w:spacing w:after="60"/>
      </w:pPr>
      <w:r>
        <w:rPr>
          <w:sz w:val="22"/>
          <w:szCs w:val="22"/>
        </w:rPr>
        <w:t xml:space="preserve">Personal injury or illness</w:t>
      </w:r>
    </w:p>
    <w:p>
      <w:pPr>
        <w:pStyle w:val="ListParagraph"/>
        <w:numPr>
          <w:ilvl w:val="0"/>
          <w:numId w:val="2"/>
        </w:numPr>
        <w:spacing w:after="60"/>
      </w:pPr>
      <w:r>
        <w:rPr>
          <w:sz w:val="22"/>
          <w:szCs w:val="22"/>
        </w:rPr>
        <w:t xml:space="preserve">Property damage or loss</w:t>
      </w:r>
    </w:p>
    <w:p>
      <w:pPr>
        <w:pStyle w:val="ListParagraph"/>
        <w:numPr>
          <w:ilvl w:val="0"/>
          <w:numId w:val="2"/>
        </w:numPr>
        <w:spacing w:after="60"/>
      </w:pPr>
      <w:r>
        <w:rPr>
          <w:sz w:val="22"/>
          <w:szCs w:val="22"/>
        </w:rPr>
        <w:t xml:space="preserve">Economic or financial loss</w:t>
      </w:r>
    </w:p>
    <w:p>
      <w:pPr>
        <w:pStyle w:val="ListParagraph"/>
        <w:numPr>
          <w:ilvl w:val="0"/>
          <w:numId w:val="2"/>
        </w:numPr>
        <w:spacing w:after="60"/>
      </w:pPr>
      <w:r>
        <w:rPr>
          <w:sz w:val="22"/>
          <w:szCs w:val="22"/>
        </w:rPr>
        <w:t xml:space="preserve">Consequential, incidental, special, or punitive damages</w:t>
      </w:r>
    </w:p>
    <w:p>
      <w:pPr>
        <w:pStyle w:val="ListParagraph"/>
        <w:numPr>
          <w:ilvl w:val="0"/>
          <w:numId w:val="2"/>
        </w:numPr>
        <w:spacing w:after="60"/>
      </w:pPr>
      <w:r>
        <w:rPr>
          <w:sz w:val="22"/>
          <w:szCs w:val="22"/>
        </w:rPr>
        <w:t xml:space="preserve">Any other damages of any nature arising from product use, misuse, or handling</w:t>
      </w:r>
    </w:p>
    <w:p>
      <w:pPr>
        <w:pStyle w:val="Heading1"/>
      </w:pPr>
      <w:r>
        <w:t xml:space="preserve">5. Indemnification</w:t>
      </w:r>
    </w:p>
    <w:p>
      <w:pPr>
        <w:spacing w:after="200"/>
      </w:pPr>
      <w:r>
        <w:t xml:space="preserve">You agree to indemnify, defend, and hold harmless the Company, its affiliates, officers, directors, employees, agents, and assigns from and against any and all claims, damages, liabilities, costs, and expenses (including reasonable legal fees) arising out of or related to: (a) your research with or handling of products; (b) any misuse of products, including any use inconsistent with the RUO Policy; (c) your violation of this Agreement or any applicable laws or regulations; or (d) any third-party claims arising from your use or possession of products.</w:t>
      </w:r>
    </w:p>
    <w:p>
      <w:pPr>
        <w:pStyle w:val="Heading1"/>
      </w:pPr>
      <w:r>
        <w:t xml:space="preserve">6. Limitation of Liability</w:t>
      </w:r>
    </w:p>
    <w:p>
      <w:pPr>
        <w:spacing w:after="200"/>
      </w:pPr>
      <w:r>
        <w:t xml:space="preserve">To the fullest extent permitted by applicable law, the Company shall not be liable for any direct, indirect, incidental, special, consequential, or punitive damages arising from: (a) the use or inability to use products; (b) any errors, omissions, or inaccuracies in product information or documentation; (c) any unauthorized access to or use of the Company’s servers, systems, or data; or (d) any interruption or cessation of services. The Company’s total aggregate liability under this Agreement shall not exceed the purchase price of the specific product(s) giving rise to the claim.</w:t>
      </w:r>
    </w:p>
    <w:p>
      <w:pPr>
        <w:pStyle w:val="Heading1"/>
      </w:pPr>
      <w:r>
        <w:t xml:space="preserve">7. No Warranty</w:t>
      </w:r>
    </w:p>
    <w:p>
      <w:pPr>
        <w:spacing w:after="200"/>
      </w:pPr>
      <w:r>
        <w:t xml:space="preserve">All products are provided “as is” and “as available” without any warranty of any kind, whether express, implied, or statutory. The Company specifically disclaims all warranties, including but not limited to warranties of merchantability, fitness for a particular purpose, non-infringement, and any warranties arising from course of dealing or usage of trade.</w:t>
      </w:r>
    </w:p>
    <w:p>
      <w:pPr>
        <w:pStyle w:val="Heading1"/>
      </w:pPr>
      <w:r>
        <w:t xml:space="preserve">8. Severability</w:t>
      </w:r>
    </w:p>
    <w:p>
      <w:pPr>
        <w:spacing w:after="200"/>
      </w:pPr>
      <w:r>
        <w:t xml:space="preserve">If any provision of this Agreement is found to be invalid, illegal, or unenforceable by a court of competent jurisdiction, the remaining provisions shall remain in full force and effect. The invalid provision shall be modified to the minimum extent necessary to make it valid and enforceable.</w:t>
      </w:r>
    </w:p>
    <w:p>
      <w:pPr>
        <w:pStyle w:val="Heading1"/>
      </w:pPr>
      <w:r>
        <w:t xml:space="preserve">9. Governing Law and Jurisdiction</w:t>
      </w:r>
    </w:p>
    <w:p>
      <w:pPr>
        <w:spacing w:after="200"/>
      </w:pPr>
      <w:r>
        <w:t xml:space="preserve">This Agreement shall be governed by and construed in accordance with the laws of [JURISDICTION], without regard to conflict of law provisions. Any disputes arising under or in connection with this Agreement shall be resolved exclusively in the courts of [COURT JURISDICTION].</w:t>
      </w:r>
    </w:p>
    <w:p>
      <w:pPr>
        <w:pStyle w:val="Heading1"/>
      </w:pPr>
      <w:r>
        <w:t xml:space="preserve">10. Entire Agreement</w:t>
      </w:r>
    </w:p>
    <w:p>
      <w:pPr>
        <w:spacing w:after="200"/>
      </w:pPr>
      <w:r>
        <w:t xml:space="preserve">This Agreement, together with the Terms of Service, Privacy Policy, and RUO Policy, constitutes the entire agreement between you and the Company regarding the subject matter herein and supersedes all prior or contemporaneous agreements, representations, and understandings.</w:t>
      </w:r>
    </w:p>
    <w:p>
      <w:pPr>
        <w:pStyle w:val="Heading1"/>
      </w:pPr>
      <w:r>
        <w:t xml:space="preserve">11. Modifications</w:t>
      </w:r>
    </w:p>
    <w:p>
      <w:pPr>
        <w:spacing w:after="200"/>
      </w:pPr>
      <w:r>
        <w:t xml:space="preserve">The Company reserves the right to update or modify this Agreement at any time. Changes will be effective immediately upon posting to the Website with an updated “Last Updated” date. Your continued purchase or use of products after the posting of changes constitutes acceptance of those changes.</w:t>
      </w:r>
    </w:p>
    <w:p>
      <w:pPr>
        <w:pStyle w:val="Heading1"/>
      </w:pPr>
      <w:r>
        <w:t xml:space="preserve">12. Contact Information</w:t>
      </w:r>
    </w:p>
    <w:p>
      <w:pPr>
        <w:spacing w:after="120"/>
      </w:pPr>
      <w:r>
        <w:t xml:space="preserve">For questions about this Waiver and Release Agreement:</w:t>
      </w:r>
    </w:p>
    <w:p>
      <w:pPr>
        <w:spacing w:after="60"/>
      </w:pPr>
      <w:r>
        <w:rPr>
          <w:sz w:val="22"/>
          <w:szCs w:val="22"/>
        </w:rPr>
        <w:t xml:space="preserve">Email: [EMAIL]</w:t>
      </w:r>
    </w:p>
    <w:p>
      <w:pPr>
        <w:spacing w:after="60"/>
      </w:pPr>
      <w:r>
        <w:rPr>
          <w:sz w:val="22"/>
          <w:szCs w:val="22"/>
        </w:rPr>
        <w:t xml:space="preserve">Address: [ADDRESS]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1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2026-03-19T12:36:14.391Z</dcterms:created>
  <dcterms:modified xsi:type="dcterms:W3CDTF">2026-03-19T12:36:14.391Z</dcterms:modified>
</cp:coreProperties>
</file>

<file path=docProps/custom.xml><?xml version="1.0" encoding="utf-8"?>
<Properties xmlns="http://schemas.openxmlformats.org/officeDocument/2006/custom-properties" xmlns:vt="http://schemas.openxmlformats.org/officeDocument/2006/docPropsVTypes"/>
</file>