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B101A" w14:textId="77777777" w:rsidR="006A21F9" w:rsidRPr="005851DC" w:rsidRDefault="006A21F9" w:rsidP="006A21F9">
      <w:pPr>
        <w:jc w:val="center"/>
        <w:rPr>
          <w:rFonts w:ascii="Open Sans" w:hAnsi="Open Sans" w:cs="Open Sans"/>
          <w:lang w:val="en-US"/>
        </w:rPr>
      </w:pPr>
      <w:r w:rsidRPr="005851DC">
        <w:rPr>
          <w:rFonts w:ascii="Open Sans" w:hAnsi="Open Sans" w:cs="Open Sans"/>
          <w:lang w:val="en-US"/>
        </w:rPr>
        <w:t>Systematic Evaluation of Machine Learning and Deep Learning Models for IoT Malware Detection Across Ransomware, Rootkit, Spyware, Trojan, Botnet, Worm, Virus, and Keylogger</w:t>
      </w:r>
    </w:p>
    <w:p w14:paraId="13B7680D" w14:textId="66A96EC3" w:rsidR="006A21F9" w:rsidRPr="006A21F9" w:rsidRDefault="006A21F9" w:rsidP="006A21F9">
      <w:pPr>
        <w:jc w:val="center"/>
        <w:rPr>
          <w:rFonts w:ascii="Open Sans" w:hAnsi="Open Sans" w:cs="Open Sans"/>
        </w:rPr>
      </w:pPr>
      <w:r w:rsidRPr="005851DC">
        <w:rPr>
          <w:rFonts w:ascii="Open Sans" w:hAnsi="Open Sans" w:cs="Open Sans"/>
        </w:rPr>
        <w:br/>
      </w:r>
      <w:r w:rsidRPr="006A21F9">
        <w:rPr>
          <w:rFonts w:ascii="Open Sans" w:hAnsi="Open Sans" w:cs="Open Sans"/>
        </w:rPr>
        <w:t>Ciclo da Pesquisa</w:t>
      </w:r>
    </w:p>
    <w:p w14:paraId="662D7685" w14:textId="77777777" w:rsidR="006A21F9" w:rsidRPr="006A21F9" w:rsidRDefault="006A21F9" w:rsidP="006A21F9">
      <w:pPr>
        <w:rPr>
          <w:rFonts w:ascii="Open Sans" w:hAnsi="Open Sans" w:cs="Open Sans"/>
        </w:rPr>
      </w:pPr>
    </w:p>
    <w:p w14:paraId="7E1F6C2C" w14:textId="77777777" w:rsidR="006A21F9" w:rsidRPr="006A21F9" w:rsidRDefault="006A21F9" w:rsidP="006A21F9">
      <w:pPr>
        <w:rPr>
          <w:rFonts w:ascii="Open Sans" w:hAnsi="Open Sans" w:cs="Open Sans"/>
        </w:rPr>
      </w:pPr>
      <w:r w:rsidRPr="006A21F9">
        <w:rPr>
          <w:rFonts w:ascii="Open Sans" w:hAnsi="Open Sans" w:cs="Open Sans"/>
        </w:rPr>
        <w:t>Coleta de Dados</w:t>
      </w:r>
    </w:p>
    <w:p w14:paraId="1685CFB2" w14:textId="41C4D639" w:rsidR="006A21F9" w:rsidRPr="006A21F9" w:rsidRDefault="006A21F9" w:rsidP="006A21F9">
      <w:pPr>
        <w:numPr>
          <w:ilvl w:val="0"/>
          <w:numId w:val="1"/>
        </w:numPr>
        <w:rPr>
          <w:rFonts w:ascii="Open Sans" w:hAnsi="Open Sans" w:cs="Open Sans"/>
        </w:rPr>
      </w:pPr>
      <w:r w:rsidRPr="006A21F9">
        <w:rPr>
          <w:rFonts w:ascii="Open Sans" w:hAnsi="Open Sans" w:cs="Open Sans"/>
        </w:rPr>
        <w:t>Bases de dados: O estudo construiu um dataset com 50.000 amostras de arquivos executáveis (.exe).</w:t>
      </w:r>
    </w:p>
    <w:p w14:paraId="267D8EF2" w14:textId="0328782A" w:rsidR="006A21F9" w:rsidRPr="006A21F9" w:rsidRDefault="006A21F9" w:rsidP="006A21F9">
      <w:pPr>
        <w:numPr>
          <w:ilvl w:val="0"/>
          <w:numId w:val="1"/>
        </w:numPr>
        <w:rPr>
          <w:rFonts w:ascii="Open Sans" w:hAnsi="Open Sans" w:cs="Open Sans"/>
        </w:rPr>
      </w:pPr>
      <w:r w:rsidRPr="006A21F9">
        <w:rPr>
          <w:rFonts w:ascii="Open Sans" w:hAnsi="Open Sans" w:cs="Open Sans"/>
        </w:rPr>
        <w:t>Composição: Foram coletadas 8.000 instâncias de malware  e 42.000 amostras benignas.</w:t>
      </w:r>
    </w:p>
    <w:p w14:paraId="39E1A4FE" w14:textId="53ADFFA2" w:rsidR="006A21F9" w:rsidRPr="006A21F9" w:rsidRDefault="006A21F9" w:rsidP="006A21F9">
      <w:pPr>
        <w:numPr>
          <w:ilvl w:val="0"/>
          <w:numId w:val="1"/>
        </w:numPr>
        <w:rPr>
          <w:rFonts w:ascii="Open Sans" w:hAnsi="Open Sans" w:cs="Open Sans"/>
        </w:rPr>
      </w:pPr>
      <w:r w:rsidRPr="006A21F9">
        <w:rPr>
          <w:rFonts w:ascii="Open Sans" w:hAnsi="Open Sans" w:cs="Open Sans"/>
        </w:rPr>
        <w:t>Ferramenta de análise: As amostras foram obtidas e analisadas através da plataforma</w:t>
      </w:r>
      <w:r w:rsidR="005851DC">
        <w:rPr>
          <w:rFonts w:ascii="Open Sans" w:hAnsi="Open Sans" w:cs="Open Sans"/>
        </w:rPr>
        <w:t xml:space="preserve"> de sandbox</w:t>
      </w:r>
      <w:r w:rsidRPr="006A21F9">
        <w:rPr>
          <w:rFonts w:ascii="Open Sans" w:hAnsi="Open Sans" w:cs="Open Sans"/>
        </w:rPr>
        <w:t xml:space="preserve"> Any.Run</w:t>
      </w:r>
    </w:p>
    <w:p w14:paraId="20837E44" w14:textId="77777777" w:rsidR="006A21F9" w:rsidRPr="006A21F9" w:rsidRDefault="006A21F9" w:rsidP="006A21F9">
      <w:pPr>
        <w:rPr>
          <w:rFonts w:ascii="Open Sans" w:hAnsi="Open Sans" w:cs="Open Sans"/>
        </w:rPr>
      </w:pPr>
      <w:r w:rsidRPr="006A21F9">
        <w:rPr>
          <w:rFonts w:ascii="Open Sans" w:hAnsi="Open Sans" w:cs="Open Sans"/>
        </w:rPr>
        <w:t>Pré-processamento</w:t>
      </w:r>
    </w:p>
    <w:p w14:paraId="6F8FAFF2" w14:textId="505BBDE3" w:rsidR="006A21F9" w:rsidRPr="006A21F9" w:rsidRDefault="006A21F9" w:rsidP="006A21F9">
      <w:pPr>
        <w:numPr>
          <w:ilvl w:val="0"/>
          <w:numId w:val="2"/>
        </w:numPr>
        <w:rPr>
          <w:rFonts w:ascii="Open Sans" w:hAnsi="Open Sans" w:cs="Open Sans"/>
        </w:rPr>
      </w:pPr>
      <w:r w:rsidRPr="006A21F9">
        <w:rPr>
          <w:rFonts w:ascii="Open Sans" w:hAnsi="Open Sans" w:cs="Open Sans"/>
        </w:rPr>
        <w:t>Normalização e Limpeza: Os contendo mais de 200 atributos originais</w:t>
      </w:r>
      <w:r w:rsidR="005851DC">
        <w:rPr>
          <w:rFonts w:ascii="Open Sans" w:hAnsi="Open Sans" w:cs="Open Sans"/>
        </w:rPr>
        <w:t>,</w:t>
      </w:r>
      <w:r w:rsidRPr="006A21F9">
        <w:rPr>
          <w:rFonts w:ascii="Open Sans" w:hAnsi="Open Sans" w:cs="Open Sans"/>
        </w:rPr>
        <w:t xml:space="preserve"> foram exportados em lote e limpos para remover identificadores específicos de execução (como IDs de amostra ou hashes)</w:t>
      </w:r>
      <w:r w:rsidR="005851DC">
        <w:rPr>
          <w:rFonts w:ascii="Open Sans" w:hAnsi="Open Sans" w:cs="Open Sans"/>
        </w:rPr>
        <w:t>.</w:t>
      </w:r>
    </w:p>
    <w:p w14:paraId="765DCE6C" w14:textId="0C78C952" w:rsidR="006A21F9" w:rsidRPr="006A21F9" w:rsidRDefault="006A21F9" w:rsidP="006A21F9">
      <w:pPr>
        <w:numPr>
          <w:ilvl w:val="0"/>
          <w:numId w:val="2"/>
        </w:numPr>
        <w:rPr>
          <w:rFonts w:ascii="Open Sans" w:hAnsi="Open Sans" w:cs="Open Sans"/>
        </w:rPr>
      </w:pPr>
      <w:r w:rsidRPr="006A21F9">
        <w:rPr>
          <w:rFonts w:ascii="Open Sans" w:hAnsi="Open Sans" w:cs="Open Sans"/>
        </w:rPr>
        <w:t>Padronização: Foram utilizadas configurações de parâmetros padronizadas para todos os 45 modelos avaliados, em vez de uma otimização exaustiva individual</w:t>
      </w:r>
      <w:r w:rsidR="005851DC">
        <w:rPr>
          <w:rFonts w:ascii="Open Sans" w:hAnsi="Open Sans" w:cs="Open Sans"/>
        </w:rPr>
        <w:t>.</w:t>
      </w:r>
    </w:p>
    <w:p w14:paraId="07C4FAA7" w14:textId="77777777" w:rsidR="006A21F9" w:rsidRPr="006A21F9" w:rsidRDefault="006A21F9" w:rsidP="006A21F9">
      <w:pPr>
        <w:rPr>
          <w:rFonts w:ascii="Open Sans" w:hAnsi="Open Sans" w:cs="Open Sans"/>
        </w:rPr>
      </w:pPr>
      <w:r w:rsidRPr="006A21F9">
        <w:rPr>
          <w:rFonts w:ascii="Open Sans" w:hAnsi="Open Sans" w:cs="Open Sans"/>
        </w:rPr>
        <w:t>Extração de Características (Feature Engineering)</w:t>
      </w:r>
    </w:p>
    <w:p w14:paraId="2AD07E0F" w14:textId="77777777" w:rsidR="006A21F9" w:rsidRPr="006A21F9" w:rsidRDefault="006A21F9" w:rsidP="006A21F9">
      <w:pPr>
        <w:numPr>
          <w:ilvl w:val="0"/>
          <w:numId w:val="3"/>
        </w:numPr>
        <w:rPr>
          <w:rFonts w:ascii="Open Sans" w:hAnsi="Open Sans" w:cs="Open Sans"/>
        </w:rPr>
      </w:pPr>
      <w:r w:rsidRPr="006A21F9">
        <w:rPr>
          <w:rFonts w:ascii="Open Sans" w:hAnsi="Open Sans" w:cs="Open Sans"/>
        </w:rPr>
        <w:t>Redução do espaço de características: Uma pipeline de seleção de características reduziu o espaço inicial para 47 atributos diagnósticos altamente informativos.</w:t>
      </w:r>
    </w:p>
    <w:p w14:paraId="1B80D16E" w14:textId="77777777" w:rsidR="006A21F9" w:rsidRPr="006A21F9" w:rsidRDefault="006A21F9" w:rsidP="006A21F9">
      <w:pPr>
        <w:numPr>
          <w:ilvl w:val="0"/>
          <w:numId w:val="3"/>
        </w:numPr>
        <w:rPr>
          <w:rFonts w:ascii="Open Sans" w:hAnsi="Open Sans" w:cs="Open Sans"/>
        </w:rPr>
      </w:pPr>
      <w:r w:rsidRPr="006A21F9">
        <w:rPr>
          <w:rFonts w:ascii="Open Sans" w:hAnsi="Open Sans" w:cs="Open Sans"/>
        </w:rPr>
        <w:t>Categorias de Features: As características foram divididas em 8 grupos: informações estáticas, indicadores comportamentais, configurações, atividade de processos, atividade de arquivos, atividade de registro, informações de debug e telemetria de rede.</w:t>
      </w:r>
    </w:p>
    <w:p w14:paraId="6C30FA33" w14:textId="77777777" w:rsidR="006A21F9" w:rsidRPr="006A21F9" w:rsidRDefault="006A21F9" w:rsidP="006A21F9">
      <w:pPr>
        <w:rPr>
          <w:rFonts w:ascii="Open Sans" w:hAnsi="Open Sans" w:cs="Open Sans"/>
        </w:rPr>
      </w:pPr>
      <w:r w:rsidRPr="006A21F9">
        <w:rPr>
          <w:rFonts w:ascii="Open Sans" w:hAnsi="Open Sans" w:cs="Open Sans"/>
        </w:rPr>
        <w:t>Treinamento do Modelo</w:t>
      </w:r>
    </w:p>
    <w:p w14:paraId="2DFB7289" w14:textId="6ABBA965" w:rsidR="006A21F9" w:rsidRPr="006A21F9" w:rsidRDefault="006A21F9" w:rsidP="006A21F9">
      <w:pPr>
        <w:numPr>
          <w:ilvl w:val="0"/>
          <w:numId w:val="4"/>
        </w:numPr>
        <w:rPr>
          <w:rFonts w:ascii="Open Sans" w:hAnsi="Open Sans" w:cs="Open Sans"/>
        </w:rPr>
      </w:pPr>
      <w:r w:rsidRPr="006A21F9">
        <w:rPr>
          <w:rFonts w:ascii="Open Sans" w:hAnsi="Open Sans" w:cs="Open Sans"/>
        </w:rPr>
        <w:lastRenderedPageBreak/>
        <w:t>Foram avaliados 45 modelos no total, sendo 27 de Machine Learning (ML) tradicional (incluindo CatBoost, LightGBM, XGBoost, Random Forest e SVM) e 18 de Deep Learning (DL) (como TabNet, FT-Transformer, CNN 1D e Autoencoders).</w:t>
      </w:r>
    </w:p>
    <w:p w14:paraId="340D8AB1" w14:textId="77777777" w:rsidR="006A21F9" w:rsidRPr="006A21F9" w:rsidRDefault="006A21F9" w:rsidP="006A21F9">
      <w:pPr>
        <w:rPr>
          <w:rFonts w:ascii="Open Sans" w:hAnsi="Open Sans" w:cs="Open Sans"/>
        </w:rPr>
      </w:pPr>
      <w:r w:rsidRPr="006A21F9">
        <w:rPr>
          <w:rFonts w:ascii="Open Sans" w:hAnsi="Open Sans" w:cs="Open Sans"/>
        </w:rPr>
        <w:t>Avaliação do Modelo</w:t>
      </w:r>
    </w:p>
    <w:p w14:paraId="2462ADE8" w14:textId="77777777" w:rsidR="006A21F9" w:rsidRPr="006A21F9" w:rsidRDefault="006A21F9" w:rsidP="006A21F9">
      <w:pPr>
        <w:numPr>
          <w:ilvl w:val="0"/>
          <w:numId w:val="5"/>
        </w:numPr>
        <w:rPr>
          <w:rFonts w:ascii="Open Sans" w:hAnsi="Open Sans" w:cs="Open Sans"/>
        </w:rPr>
      </w:pPr>
      <w:r w:rsidRPr="006A21F9">
        <w:rPr>
          <w:rFonts w:ascii="Open Sans" w:hAnsi="Open Sans" w:cs="Open Sans"/>
        </w:rPr>
        <w:t>Métricas: Foram aplicadas as métricas de Acurácia de Treino, Acurácia de Teste, Precisão, Recall, F1-score e Taxa de Falsos Positivos (FPR).</w:t>
      </w:r>
    </w:p>
    <w:p w14:paraId="78B668BB" w14:textId="77777777" w:rsidR="006A21F9" w:rsidRPr="006A21F9" w:rsidRDefault="006A21F9" w:rsidP="006A21F9">
      <w:pPr>
        <w:numPr>
          <w:ilvl w:val="0"/>
          <w:numId w:val="5"/>
        </w:numPr>
        <w:rPr>
          <w:rFonts w:ascii="Open Sans" w:hAnsi="Open Sans" w:cs="Open Sans"/>
        </w:rPr>
      </w:pPr>
      <w:r w:rsidRPr="006A21F9">
        <w:rPr>
          <w:rFonts w:ascii="Open Sans" w:hAnsi="Open Sans" w:cs="Open Sans"/>
        </w:rPr>
        <w:t>Resultados de Destaque: Modelos baseados em árvores de decisão (Gradient Boosted Decision Trees - GBDT) dominaram o ranking. O CatBoost obteve a melhor acurácia geral (99,0%), seguido pelo LightGBM (98,7%) e XGBoost (98,4%).</w:t>
      </w:r>
    </w:p>
    <w:p w14:paraId="08DCCAC5" w14:textId="77777777" w:rsidR="006A21F9" w:rsidRPr="006A21F9" w:rsidRDefault="006A21F9" w:rsidP="006A21F9">
      <w:pPr>
        <w:rPr>
          <w:rFonts w:ascii="Open Sans" w:hAnsi="Open Sans" w:cs="Open Sans"/>
        </w:rPr>
      </w:pPr>
      <w:r w:rsidRPr="006A21F9">
        <w:rPr>
          <w:rFonts w:ascii="Open Sans" w:hAnsi="Open Sans" w:cs="Open Sans"/>
        </w:rPr>
        <w:t>Interpretação de Resultados</w:t>
      </w:r>
    </w:p>
    <w:p w14:paraId="195B8C5C" w14:textId="77777777" w:rsidR="006A21F9" w:rsidRPr="006A21F9" w:rsidRDefault="006A21F9" w:rsidP="006A21F9">
      <w:pPr>
        <w:numPr>
          <w:ilvl w:val="0"/>
          <w:numId w:val="6"/>
        </w:numPr>
        <w:rPr>
          <w:rFonts w:ascii="Open Sans" w:hAnsi="Open Sans" w:cs="Open Sans"/>
        </w:rPr>
      </w:pPr>
      <w:r w:rsidRPr="006A21F9">
        <w:rPr>
          <w:rFonts w:ascii="Open Sans" w:hAnsi="Open Sans" w:cs="Open Sans"/>
        </w:rPr>
        <w:t>ML vs. DL: O estudo concluiu que modelos de Machine Learning baseados em conjuntos de árvores (ensemble) superam as arquiteturas de Deep Learning para dados tabulares de telemetria IoT, representando 7 dos 10 melhores modelos.</w:t>
      </w:r>
    </w:p>
    <w:p w14:paraId="5B355886" w14:textId="77777777" w:rsidR="006A21F9" w:rsidRPr="006A21F9" w:rsidRDefault="006A21F9" w:rsidP="006A21F9">
      <w:pPr>
        <w:numPr>
          <w:ilvl w:val="0"/>
          <w:numId w:val="6"/>
        </w:numPr>
        <w:rPr>
          <w:rFonts w:ascii="Open Sans" w:hAnsi="Open Sans" w:cs="Open Sans"/>
        </w:rPr>
      </w:pPr>
      <w:r w:rsidRPr="006A21F9">
        <w:rPr>
          <w:rFonts w:ascii="Open Sans" w:hAnsi="Open Sans" w:cs="Open Sans"/>
        </w:rPr>
        <w:t>Viabilidade Prática: Modelos GBDT oferecem a melhor relação entre precisão e eficiência computacional, sendo recomendados para implantação em hardware de commodities no setor industrial (IIoT).</w:t>
      </w:r>
    </w:p>
    <w:p w14:paraId="3EF678C3" w14:textId="77777777" w:rsidR="006A21F9" w:rsidRPr="006A21F9" w:rsidRDefault="006A21F9">
      <w:pPr>
        <w:rPr>
          <w:rFonts w:ascii="Open Sans" w:hAnsi="Open Sans" w:cs="Open Sans"/>
        </w:rPr>
      </w:pPr>
    </w:p>
    <w:sectPr w:rsidR="006A21F9" w:rsidRPr="006A21F9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0092"/>
    <w:multiLevelType w:val="multilevel"/>
    <w:tmpl w:val="0BE2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E0BD2"/>
    <w:multiLevelType w:val="multilevel"/>
    <w:tmpl w:val="7418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752A1"/>
    <w:multiLevelType w:val="multilevel"/>
    <w:tmpl w:val="4A1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A3D3B"/>
    <w:multiLevelType w:val="multilevel"/>
    <w:tmpl w:val="61C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E0A23"/>
    <w:multiLevelType w:val="multilevel"/>
    <w:tmpl w:val="21DA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343B6"/>
    <w:multiLevelType w:val="multilevel"/>
    <w:tmpl w:val="D2CE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517553">
    <w:abstractNumId w:val="5"/>
  </w:num>
  <w:num w:numId="2" w16cid:durableId="2052335854">
    <w:abstractNumId w:val="1"/>
  </w:num>
  <w:num w:numId="3" w16cid:durableId="1189568996">
    <w:abstractNumId w:val="3"/>
  </w:num>
  <w:num w:numId="4" w16cid:durableId="14581755">
    <w:abstractNumId w:val="4"/>
  </w:num>
  <w:num w:numId="5" w16cid:durableId="1517888137">
    <w:abstractNumId w:val="0"/>
  </w:num>
  <w:num w:numId="6" w16cid:durableId="255407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F9"/>
    <w:rsid w:val="00257FA5"/>
    <w:rsid w:val="005851DC"/>
    <w:rsid w:val="005B497F"/>
    <w:rsid w:val="006A21F9"/>
    <w:rsid w:val="00DC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6B65D"/>
  <w15:chartTrackingRefBased/>
  <w15:docId w15:val="{92B8BA64-3CB5-46F2-BDEE-A73E7180D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2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2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2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2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2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2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2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2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2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2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2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2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21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21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21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21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21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21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2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2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2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2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2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21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21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21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2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21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2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6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0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silva</dc:creator>
  <cp:keywords/>
  <dc:description/>
  <cp:lastModifiedBy>joao silva</cp:lastModifiedBy>
  <cp:revision>3</cp:revision>
  <dcterms:created xsi:type="dcterms:W3CDTF">2026-05-07T15:21:00Z</dcterms:created>
  <dcterms:modified xsi:type="dcterms:W3CDTF">2026-05-08T03:14:00Z</dcterms:modified>
</cp:coreProperties>
</file>