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pPr>
        <w:pStyle w:val="Heading2"/>
        <w:spacing w:after="140" w:before="280"/>
      </w:pPr>
      <w:r>
        <w:rPr>
          <w:b/>
          <w:bCs/>
          <w:color w:val="7F1416"/>
          <w:sz w:val="25"/>
          <w:szCs w:val="25"/>
        </w:rPr>
        <w:t xml:space="preserve">11.7 Outsource — freelancers and the work given to them</w:t>
      </w:r>
    </w:p>
    <w:p>
      <w:pPr>
        <w:spacing w:after="140" w:line="300"/>
      </w:pPr>
      <w:r>
        <w:rPr>
          <w:color w:val="1A1A1A"/>
          <w:sz w:val="21"/>
          <w:szCs w:val="21"/>
        </w:rPr>
        <w:t xml:space="preserve">The Outsource tab is the studio’s record of work sent outside it: who the freelancers are, what each has been given, and what was agreed for it. It opens for Team Leads, Production, Creative Direction and above, and shows the outsourced work on the projects you can already see — a lead sees their own projects’, not the studio’s.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HERE ARE AGREED, NOT MEASURED</w:t>
            </w:r>
          </w:p>
          <w:p>
            <w:pPr>
              <w:spacing w:after="0" w:line="270"/>
            </w:pPr>
            <w:r>
              <w:rPr>
                <w:color w:val="1A1A1A"/>
                <w:sz w:val="19"/>
                <w:szCs w:val="19"/>
              </w:rPr>
              <w:t xml:space="preserve">This is the one part of the application where an hours figure is typed rather than recorded. "Decided man hours" is what the studio and the freelancer settled on. Nothing on this tab starts a timer, writes a work session, or is touched by the recording schedule, the breaks or the overnight pause and resume — none of that applies to somebody the studio does not employ.
It can be revised. If the scope changes or a revision round adds hours, edit the figure; the change is written to the Activity Log with what it was before, because that number is what somebody is paid against.</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FREELANCERS ARE RECORDS, NOT ACCOUNTS. A freelancer has no login and no designation — they never sign in, and nothing about them appears in Users. Deactivate one rather than deleting them: an inactive freelancer takes no new work, and the work already recorded against them keeps its meaning.</w:t>
      </w:r>
    </w:p>
    <w:p>
      <w:pPr>
        <w:pStyle w:val="ListParagraph"/>
        <w:numPr>
          <w:ilvl w:val="0"/>
          <w:numId w:val="45"/>
        </w:numPr>
        <w:spacing w:after="70" w:line="280"/>
      </w:pPr>
      <w:r>
        <w:rPr>
          <w:color w:val="1A1A1A"/>
          <w:sz w:val="21"/>
          <w:szCs w:val="21"/>
        </w:rPr>
        <w:t xml:space="preserve">AN ASSIGNMENT MAY NAME AN ASSET, OR NOT. Link it to a tracked asset when the work is one, and the asset’s own Man Hours estimate is shown beside the agreed figure — two different numbers about the same work, both visible, neither standing in for the other. Leave it blank for work that never enters the pipeline.</w:t>
      </w:r>
    </w:p>
    <w:p>
      <w:pPr>
        <w:pStyle w:val="ListParagraph"/>
        <w:numPr>
          <w:ilvl w:val="0"/>
          <w:numId w:val="45"/>
        </w:numPr>
        <w:spacing w:after="70" w:line="280"/>
      </w:pPr>
      <w:r>
        <w:rPr>
          <w:color w:val="1A1A1A"/>
          <w:sz w:val="21"/>
          <w:szCs w:val="21"/>
        </w:rPr>
        <w:t xml:space="preserve">STATUS follows the work: Assigned, In Progress, Delivered, Revision Requested.</w:t>
      </w:r>
    </w:p>
    <w:p>
      <w:pPr>
        <w:pStyle w:val="ListParagraph"/>
        <w:numPr>
          <w:ilvl w:val="0"/>
          <w:numId w:val="45"/>
        </w:numPr>
        <w:spacing w:after="70" w:line="280"/>
      </w:pPr>
      <w:r>
        <w:rPr>
          <w:color w:val="1A1A1A"/>
          <w:sz w:val="21"/>
          <w:szCs w:val="21"/>
        </w:rPr>
        <w:t xml:space="preserve">THE SUMMARY totals the agreed hours per freelancer and splits them by project, which is what an invoice is raised against.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IT FIXES IN THE PROFIT &amp; LOSS</w:t>
            </w:r>
          </w:p>
          <w:p>
            <w:pPr>
              <w:spacing w:after="0" w:line="270"/>
            </w:pPr>
            <w:r>
              <w:rPr>
                <w:color w:val="1A1A1A"/>
                <w:sz w:val="19"/>
                <w:szCs w:val="19"/>
              </w:rPr>
              <w:t xml:space="preserve">The P&amp;L costs work sessions at the Rate Card rate of the designation that logged them. A freelancer logs no sessions and holds no designation — so before this tab existed, a project that outsourced half its work reported half its cost, and a profit to match, with nothing on either tab able to say so.
Agreed hours × the freelancer’s rate now reaches both tabs as its own figure, and the variance and profit are taken from the two costs combined. A freelancer with no rate recorded contributes hours but no cost and is reported as unpriced, never folded in at zero — a zero there would make the project look cheaper than it was.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11.7a Assigning a task: inside the studio, or outside it</w:t>
      </w:r>
    </w:p>
    <w:p>
      <w:pPr>
        <w:spacing w:after="140" w:line="300"/>
      </w:pPr>
      <w:r>
        <w:rPr>
          <w:color w:val="1A1A1A"/>
          <w:sz w:val="21"/>
          <w:szCs w:val="21"/>
        </w:rPr>
        <w:t xml:space="preserve">A task belongs to one person or the other, never both. The task panel has two sections — &lt;b&gt;Assignee&lt;/b&gt; for somebody in the studio, and &lt;b&gt;Assign to freelancer&lt;/b&gt; below it — and committing either one greys the other out.</w:t>
      </w:r>
    </w:p>
    <w:p>
      <w:pPr>
        <w:pStyle w:val="ListParagraph"/>
        <w:numPr>
          <w:ilvl w:val="0"/>
          <w:numId w:val="46"/>
        </w:numPr>
        <w:spacing w:after="70" w:line="280"/>
      </w:pPr>
      <w:r>
        <w:rPr>
          <w:color w:val="1A1A1A"/>
          <w:sz w:val="21"/>
          <w:szCs w:val="21"/>
        </w:rPr>
        <w:t xml:space="preserve">Open the task and find the two sections under the checklist.</w:t>
      </w:r>
    </w:p>
    <w:p>
      <w:pPr>
        <w:pStyle w:val="ListParagraph"/>
        <w:numPr>
          <w:ilvl w:val="0"/>
          <w:numId w:val="46"/>
        </w:numPr>
        <w:spacing w:after="70" w:line="280"/>
      </w:pPr>
      <w:r>
        <w:rPr>
          <w:color w:val="1A1A1A"/>
          <w:sz w:val="21"/>
          <w:szCs w:val="21"/>
        </w:rPr>
        <w:t xml:space="preserve">For internal work: pick the person, then press Assign. Picking a name no longer assigns on the spot — the button is the commitment.</w:t>
      </w:r>
    </w:p>
    <w:p>
      <w:pPr>
        <w:pStyle w:val="ListParagraph"/>
        <w:numPr>
          <w:ilvl w:val="0"/>
          <w:numId w:val="46"/>
        </w:numPr>
        <w:spacing w:after="70" w:line="280"/>
      </w:pPr>
      <w:r>
        <w:rPr>
          <w:color w:val="1A1A1A"/>
          <w:sz w:val="21"/>
          <w:szCs w:val="21"/>
        </w:rPr>
        <w:t xml:space="preserve">For outsourced work: pick the freelancer, press Assign to Freelancer, and enter the decided man hours when asked. The assignment is not made until there is a figure.</w:t>
      </w:r>
    </w:p>
    <w:p>
      <w:pPr>
        <w:pStyle w:val="ListParagraph"/>
        <w:numPr>
          <w:ilvl w:val="0"/>
          <w:numId w:val="46"/>
        </w:numPr>
        <w:spacing w:after="70" w:line="280"/>
      </w:pPr>
      <w:r>
        <w:rPr>
          <w:color w:val="1A1A1A"/>
          <w:sz w:val="21"/>
          <w:szCs w:val="21"/>
        </w:rPr>
        <w:t xml:space="preserve">To switch type: press Unassign on whichever section is active. Both sections open again and you can pick the other way.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GREYING OUT IS A COURTESY. THE RULE IS ON THE SERVER</w:t>
            </w:r>
          </w:p>
          <w:p>
            <w:pPr>
              <w:spacing w:after="0" w:line="270"/>
            </w:pPr>
            <w:r>
              <w:rPr>
                <w:color w:val="1A1A1A"/>
                <w:sz w:val="19"/>
                <w:szCs w:val="19"/>
              </w:rPr>
              <w:t xml:space="preserve">Every route that can set an assignee — the panel, the Edit form, the handover and the bulk assign — refuses a task that is out with a freelancer, and says who holds it. The outsource side refuses a task somebody in the studio is already on. So the rule holds whether the refusal comes from a greyed-out button or from a browser left open on a stale page.
Bulk assign refuses PER TASK: run it over twenty and the one that is outsourced is named and skipped while the other nineteen go through.</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UNASSIGNING A FREELANCER DOES NOT DELETE ANYTHING. The assignment is marked cancelled and kept — the agreed hours may already have been quoted to them, so what was agreed and by whom stays on the record. What changes is that the task is the studio’s again and the hours stop costing the project.</w:t>
      </w:r>
    </w:p>
    <w:p>
      <w:pPr>
        <w:pStyle w:val="ListParagraph"/>
        <w:numPr>
          <w:ilvl w:val="0"/>
          <w:numId w:val="47"/>
        </w:numPr>
        <w:spacing w:after="70" w:line="280"/>
      </w:pPr>
      <w:r>
        <w:rPr>
          <w:color w:val="1A1A1A"/>
          <w:sz w:val="21"/>
          <w:szCs w:val="21"/>
        </w:rPr>
        <w:t xml:space="preserve">IT TAKES Manage Outsourcing — the same permission that gave the work out. Somebody who can only view the Outsource tab cannot take work back.</w:t>
      </w:r>
    </w:p>
    <w:p>
      <w:pPr>
        <w:pStyle w:val="ListParagraph"/>
        <w:numPr>
          <w:ilvl w:val="0"/>
          <w:numId w:val="47"/>
        </w:numPr>
        <w:spacing w:after="70" w:line="280"/>
      </w:pPr>
      <w:r>
        <w:rPr>
          <w:color w:val="1A1A1A"/>
          <w:sz w:val="21"/>
          <w:szCs w:val="21"/>
        </w:rPr>
        <w:t xml:space="preserve">AD HOC OUTSOURCED WORK IS OUTSIDE THIS. An assignment that names no task conflicts with no task, so a project can carry ad hoc outsourced work and still assign every one of its tasks normally.</w:t>
      </w:r>
    </w:p>
    <w:p>
      <w:pPr>
        <w:pStyle w:val="ListParagraph"/>
        <w:numPr>
          <w:ilvl w:val="0"/>
          <w:numId w:val="47"/>
        </w:numPr>
        <w:spacing w:after="70" w:line="280"/>
      </w:pPr>
      <w:r>
        <w:rPr>
          <w:color w:val="1A1A1A"/>
          <w:sz w:val="21"/>
          <w:szCs w:val="21"/>
        </w:rPr>
        <w:t xml:space="preserve">EVERY UNASSIGN IS LOGGED, with the figure that was agreed before it was taken back.</w:t>
      </w:r>
    </w:p>
    <w:p>
      <w:pPr>
        <w:spacing w:after="60" w:line="300"/>
      </w:pPr>
      <w:r>
        <w:rPr>
          <w:color w:val="1A1A1A"/>
          <w:sz w:val="21"/>
          <w:szCs w:val="21"/>
        </w:rPr>
        <w:t xml:space="preserve"/>
      </w:r>
    </w:p>
    <w:p>
      <w:pPr>
        <w:spacing w:after="140" w:line="300"/>
      </w:pPr>
      <w:r>
        <w:rPr>
          <w:color w:val="1A1A1A"/>
          <w:sz w:val="21"/>
          <w:szCs w:val="21"/>
        </w:rPr>
        <w:t xml:space="preserve">PAY RATES ARE A SEPARATE PERMISSION. Manage Outsourcing lets somebody add freelancers, give them work and set the agreed hours. See Freelancer Pay Rates — the Super Admin by default — is what shows the money: the rate, the cost column and the P&amp;L figures above. Without it the tab shows the work and the hours and no money at all, and the rate is not merely hidden on the page, it is not sent to the browser. It is the same split the Profit &amp; Loss permissions already make between reading a margin and being handed the Rate Card.</w:t>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8"/>
        </w:numPr>
        <w:spacing w:after="70" w:line="280"/>
      </w:pPr>
      <w:r>
        <w:rPr>
          <w:color w:val="1A1A1A"/>
          <w:sz w:val="21"/>
          <w:szCs w:val="21"/>
        </w:rPr>
        <w:t xml:space="preserve">The bell carries the number of unread notifications.</w:t>
      </w:r>
    </w:p>
    <w:p>
      <w:pPr>
        <w:pStyle w:val="ListParagraph"/>
        <w:numPr>
          <w:ilvl w:val="0"/>
          <w:numId w:val="48"/>
        </w:numPr>
        <w:spacing w:after="70" w:line="280"/>
      </w:pPr>
      <w:r>
        <w:rPr>
          <w:color w:val="1A1A1A"/>
          <w:sz w:val="21"/>
          <w:szCs w:val="21"/>
        </w:rPr>
        <w:t xml:space="preserve">Mark all as read clears the count.</w:t>
      </w:r>
    </w:p>
    <w:p>
      <w:pPr>
        <w:pStyle w:val="ListParagraph"/>
        <w:numPr>
          <w:ilvl w:val="0"/>
          <w:numId w:val="48"/>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8"/>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9"/>
        </w:numPr>
        <w:spacing w:after="70" w:line="280"/>
      </w:pPr>
      <w:r>
        <w:rPr>
          <w:color w:val="1A1A1A"/>
          <w:sz w:val="21"/>
          <w:szCs w:val="21"/>
        </w:rPr>
        <w:t xml:space="preserve">Press the chat icon.</w:t>
      </w:r>
    </w:p>
    <w:p>
      <w:pPr>
        <w:pStyle w:val="ListParagraph"/>
        <w:numPr>
          <w:ilvl w:val="0"/>
          <w:numId w:val="49"/>
        </w:numPr>
        <w:spacing w:after="70" w:line="280"/>
      </w:pPr>
      <w:r>
        <w:rPr>
          <w:color w:val="1A1A1A"/>
          <w:sz w:val="21"/>
          <w:szCs w:val="21"/>
        </w:rPr>
        <w:t xml:space="preserve">Press New message.</w:t>
      </w:r>
    </w:p>
    <w:p>
      <w:pPr>
        <w:pStyle w:val="ListParagraph"/>
        <w:numPr>
          <w:ilvl w:val="0"/>
          <w:numId w:val="49"/>
        </w:numPr>
        <w:spacing w:after="70" w:line="280"/>
      </w:pPr>
      <w:r>
        <w:rPr>
          <w:color w:val="1A1A1A"/>
          <w:sz w:val="21"/>
          <w:szCs w:val="21"/>
        </w:rPr>
        <w:t xml:space="preserve">Search for the person and pick them.</w:t>
      </w:r>
    </w:p>
    <w:p>
      <w:pPr>
        <w:pStyle w:val="ListParagraph"/>
        <w:numPr>
          <w:ilvl w:val="0"/>
          <w:numId w:val="49"/>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Press the chat icon, then New group.</w:t>
      </w:r>
    </w:p>
    <w:p>
      <w:pPr>
        <w:pStyle w:val="ListParagraph"/>
        <w:numPr>
          <w:ilvl w:val="0"/>
          <w:numId w:val="50"/>
        </w:numPr>
        <w:spacing w:after="70" w:line="280"/>
      </w:pPr>
      <w:r>
        <w:rPr>
          <w:color w:val="1A1A1A"/>
          <w:sz w:val="21"/>
          <w:szCs w:val="21"/>
        </w:rPr>
        <w:t xml:space="preserve">Give the group a name and tick the people to put in it.</w:t>
      </w:r>
    </w:p>
    <w:p>
      <w:pPr>
        <w:pStyle w:val="ListParagraph"/>
        <w:numPr>
          <w:ilvl w:val="0"/>
          <w:numId w:val="50"/>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51"/>
        </w:numPr>
        <w:spacing w:after="70" w:line="280"/>
      </w:pPr>
      <w:r>
        <w:rPr>
          <w:color w:val="1A1A1A"/>
          <w:sz w:val="21"/>
          <w:szCs w:val="21"/>
        </w:rPr>
        <w:t xml:space="preserve">UNLIMITED is a tick box, not a large number. Tick it and no group has a cap at all.</w:t>
      </w:r>
    </w:p>
    <w:p>
      <w:pPr>
        <w:pStyle w:val="ListParagraph"/>
        <w:numPr>
          <w:ilvl w:val="0"/>
          <w:numId w:val="51"/>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51"/>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51"/>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51"/>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52"/>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52"/>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52"/>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3"/>
        </w:numPr>
        <w:spacing w:after="70" w:line="280"/>
      </w:pPr>
      <w:r>
        <w:rPr>
          <w:color w:val="1A1A1A"/>
          <w:sz w:val="21"/>
          <w:szCs w:val="21"/>
        </w:rPr>
        <w:t xml:space="preserve">Pasting ordinary text is unchanged — it goes into the box as text, as it always did.</w:t>
      </w:r>
    </w:p>
    <w:p>
      <w:pPr>
        <w:pStyle w:val="ListParagraph"/>
        <w:numPr>
          <w:ilvl w:val="0"/>
          <w:numId w:val="53"/>
        </w:numPr>
        <w:spacing w:after="70" w:line="280"/>
      </w:pPr>
      <w:r>
        <w:rPr>
          <w:color w:val="1A1A1A"/>
          <w:sz w:val="21"/>
          <w:szCs w:val="21"/>
        </w:rPr>
        <w:t xml:space="preserve">Copying words and a picture together attaches the picture and types the words.</w:t>
      </w:r>
    </w:p>
    <w:p>
      <w:pPr>
        <w:pStyle w:val="ListParagraph"/>
        <w:numPr>
          <w:ilvl w:val="0"/>
          <w:numId w:val="53"/>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3"/>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4"/>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4"/>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4"/>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4"/>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4"/>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5"/>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5"/>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5"/>
        </w:numPr>
        <w:spacing w:after="70" w:line="280"/>
      </w:pPr>
      <w:r>
        <w:rPr>
          <w:color w:val="1A1A1A"/>
          <w:sz w:val="21"/>
          <w:szCs w:val="21"/>
        </w:rPr>
        <w:t xml:space="preserve">You are not offered to yourself, because tagging yourself would notify nobody.</w:t>
      </w:r>
    </w:p>
    <w:p>
      <w:pPr>
        <w:pStyle w:val="ListParagraph"/>
        <w:numPr>
          <w:ilvl w:val="0"/>
          <w:numId w:val="55"/>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6"/>
        </w:numPr>
        <w:spacing w:after="70" w:line="280"/>
      </w:pPr>
      <w:r>
        <w:rPr>
          <w:color w:val="1A1A1A"/>
          <w:sz w:val="21"/>
          <w:szCs w:val="21"/>
        </w:rPr>
        <w:t xml:space="preserve">The shield is one way round. A shielded designation still messages anybody it likes.</w:t>
      </w:r>
    </w:p>
    <w:p>
      <w:pPr>
        <w:pStyle w:val="ListParagraph"/>
        <w:numPr>
          <w:ilvl w:val="0"/>
          <w:numId w:val="56"/>
        </w:numPr>
        <w:spacing w:after="70" w:line="280"/>
      </w:pPr>
      <w:r>
        <w:rPr>
          <w:color w:val="1A1A1A"/>
          <w:sz w:val="21"/>
          <w:szCs w:val="21"/>
        </w:rPr>
        <w:t xml:space="preserve">Anybody it has written to can write back — otherwise its own messages would be unanswerable.</w:t>
      </w:r>
    </w:p>
    <w:p>
      <w:pPr>
        <w:pStyle w:val="ListParagraph"/>
        <w:numPr>
          <w:ilvl w:val="0"/>
          <w:numId w:val="5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7"/>
        </w:numPr>
        <w:spacing w:after="70" w:line="280"/>
      </w:pPr>
      <w:r>
        <w:rPr>
          <w:color w:val="1A1A1A"/>
          <w:sz w:val="21"/>
          <w:szCs w:val="21"/>
        </w:rPr>
        <w:t xml:space="preserve">Press Profile.</w:t>
      </w:r>
    </w:p>
    <w:p>
      <w:pPr>
        <w:pStyle w:val="ListParagraph"/>
        <w:numPr>
          <w:ilvl w:val="0"/>
          <w:numId w:val="57"/>
        </w:numPr>
        <w:spacing w:after="70" w:line="280"/>
      </w:pPr>
      <w:r>
        <w:rPr>
          <w:color w:val="1A1A1A"/>
          <w:sz w:val="21"/>
          <w:szCs w:val="21"/>
        </w:rPr>
        <w:t xml:space="preserve">Choose an image and crop it in the preview.</w:t>
      </w:r>
    </w:p>
    <w:p>
      <w:pPr>
        <w:pStyle w:val="ListParagraph"/>
        <w:numPr>
          <w:ilvl w:val="0"/>
          <w:numId w:val="5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8"/>
        </w:numPr>
        <w:spacing w:after="70" w:line="280"/>
      </w:pPr>
      <w:r>
        <w:rPr>
          <w:color w:val="1A1A1A"/>
          <w:sz w:val="21"/>
          <w:szCs w:val="21"/>
        </w:rPr>
        <w:t xml:space="preserve">Press Profile.</w:t>
      </w:r>
    </w:p>
    <w:p>
      <w:pPr>
        <w:pStyle w:val="ListParagraph"/>
        <w:numPr>
          <w:ilvl w:val="0"/>
          <w:numId w:val="58"/>
        </w:numPr>
        <w:spacing w:after="70" w:line="280"/>
      </w:pPr>
      <w:r>
        <w:rPr>
          <w:color w:val="1A1A1A"/>
          <w:sz w:val="21"/>
          <w:szCs w:val="21"/>
        </w:rPr>
        <w:t xml:space="preserve">Give your current password, then the new one twice.</w:t>
      </w:r>
    </w:p>
    <w:p>
      <w:pPr>
        <w:pStyle w:val="ListParagraph"/>
        <w:numPr>
          <w:ilvl w:val="0"/>
          <w:numId w:val="5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9"/>
        </w:numPr>
        <w:spacing w:after="70" w:line="280"/>
      </w:pPr>
      <w:r>
        <w:rPr>
          <w:color w:val="1A1A1A"/>
          <w:sz w:val="21"/>
          <w:szCs w:val="21"/>
        </w:rPr>
        <w:t xml:space="preserve">Tick the days the studio works. Monday to Friday out of the box.</w:t>
      </w:r>
    </w:p>
    <w:p>
      <w:pPr>
        <w:pStyle w:val="ListParagraph"/>
        <w:numPr>
          <w:ilvl w:val="0"/>
          <w:numId w:val="59"/>
        </w:numPr>
        <w:spacing w:after="70" w:line="280"/>
      </w:pPr>
      <w:r>
        <w:rPr>
          <w:color w:val="1A1A1A"/>
          <w:sz w:val="21"/>
          <w:szCs w:val="21"/>
        </w:rPr>
        <w:t xml:space="preserve">Set the start and end of the working day.</w:t>
      </w:r>
    </w:p>
    <w:p>
      <w:pPr>
        <w:pStyle w:val="ListParagraph"/>
        <w:numPr>
          <w:ilvl w:val="0"/>
          <w:numId w:val="59"/>
        </w:numPr>
        <w:spacing w:after="70" w:line="280"/>
      </w:pPr>
      <w:r>
        <w:rPr>
          <w:color w:val="1A1A1A"/>
          <w:sz w:val="21"/>
          <w:szCs w:val="21"/>
        </w:rPr>
        <w:t xml:space="preserve">Set the start and end of each break, or clear both ends of one the studio does not have.</w:t>
      </w:r>
    </w:p>
    <w:p>
      <w:pPr>
        <w:pStyle w:val="ListParagraph"/>
        <w:numPr>
          <w:ilvl w:val="0"/>
          <w:numId w:val="5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60"/>
        </w:numPr>
        <w:spacing w:after="70" w:line="280"/>
      </w:pPr>
      <w:r>
        <w:rPr>
          <w:color w:val="1A1A1A"/>
          <w:sz w:val="21"/>
          <w:szCs w:val="21"/>
        </w:rPr>
        <w:t xml:space="preserve">Choose a designation from the dropdown.</w:t>
      </w:r>
    </w:p>
    <w:p>
      <w:pPr>
        <w:pStyle w:val="ListParagraph"/>
        <w:numPr>
          <w:ilvl w:val="0"/>
          <w:numId w:val="60"/>
        </w:numPr>
        <w:spacing w:after="70" w:line="280"/>
      </w:pPr>
      <w:r>
        <w:rPr>
          <w:color w:val="1A1A1A"/>
          <w:sz w:val="21"/>
          <w:szCs w:val="21"/>
        </w:rPr>
        <w:t xml:space="preserve">Tick or untick the actions it should hold. They are grouped by module.</w:t>
      </w:r>
    </w:p>
    <w:p>
      <w:pPr>
        <w:pStyle w:val="ListParagraph"/>
        <w:numPr>
          <w:ilvl w:val="0"/>
          <w:numId w:val="6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61"/>
        </w:numPr>
        <w:spacing w:after="70" w:line="280"/>
      </w:pPr>
      <w:r>
        <w:rPr>
          <w:color w:val="1A1A1A"/>
          <w:sz w:val="21"/>
          <w:szCs w:val="21"/>
        </w:rPr>
        <w:t xml:space="preserve">A change here applies to everybody holding that designation, not to one person.</w:t>
      </w:r>
    </w:p>
    <w:p>
      <w:pPr>
        <w:pStyle w:val="ListParagraph"/>
        <w:numPr>
          <w:ilvl w:val="0"/>
          <w:numId w:val="61"/>
        </w:numPr>
        <w:spacing w:after="70" w:line="280"/>
      </w:pPr>
      <w:r>
        <w:rPr>
          <w:color w:val="1A1A1A"/>
          <w:sz w:val="21"/>
          <w:szCs w:val="21"/>
        </w:rPr>
        <w:t xml:space="preserve">Super Admin holds every permission, including any added in future, and cannot be edited down.</w:t>
      </w:r>
    </w:p>
    <w:p>
      <w:pPr>
        <w:pStyle w:val="ListParagraph"/>
        <w:numPr>
          <w:ilvl w:val="0"/>
          <w:numId w:val="6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62"/>
        </w:numPr>
        <w:spacing w:after="70" w:line="280"/>
      </w:pPr>
      <w:r>
        <w:rPr>
          <w:color w:val="1A1A1A"/>
          <w:sz w:val="21"/>
          <w:szCs w:val="21"/>
        </w:rPr>
        <w:t xml:space="preserve">Filter by person, by module, by action, by date range, or search the text.</w:t>
      </w:r>
    </w:p>
    <w:p>
      <w:pPr>
        <w:pStyle w:val="ListParagraph"/>
        <w:numPr>
          <w:ilvl w:val="0"/>
          <w:numId w:val="6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62"/>
        </w:numPr>
        <w:spacing w:after="70" w:line="280"/>
      </w:pPr>
      <w:r>
        <w:rPr>
          <w:color w:val="1A1A1A"/>
          <w:sz w:val="21"/>
          <w:szCs w:val="21"/>
        </w:rPr>
        <w:t xml:space="preserve">Nothing here can be edited or removed, from this screen or any other.</w:t>
      </w:r>
    </w:p>
    <w:p>
      <w:pPr>
        <w:pStyle w:val="ListParagraph"/>
        <w:numPr>
          <w:ilvl w:val="0"/>
          <w:numId w:val="6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3"/>
        </w:numPr>
        <w:spacing w:after="70" w:line="280"/>
      </w:pPr>
      <w:r>
        <w:rPr>
          <w:color w:val="1A1A1A"/>
          <w:sz w:val="21"/>
          <w:szCs w:val="21"/>
        </w:rPr>
        <w:t xml:space="preserve">A file inside its twelve-hour window opens from here. Past it, the same placeholder as in chat.</w:t>
      </w:r>
    </w:p>
    <w:p>
      <w:pPr>
        <w:pStyle w:val="ListParagraph"/>
        <w:numPr>
          <w:ilvl w:val="0"/>
          <w:numId w:val="6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13.9 The integration API — how another system reaches Forge</w:t>
      </w:r>
    </w:p>
    <w:p>
      <w:pPr>
        <w:spacing w:after="140" w:line="300"/>
      </w:pPr>
      <w:r>
        <w:rPr>
          <w:color w:val="1A1A1A"/>
          <w:sz w:val="21"/>
          <w:szCs w:val="21"/>
        </w:rPr>
        <w:t xml:space="preserve">Forge can accept requests from another system in the studio — a Dev &amp; QA tool, a build server, a script on somebody’s machine — under /api/integration. Nothing in the screens above changes; this is a separate door with its own locks, and it is the only part of the application no person signs in to.</w:t>
      </w:r>
    </w:p>
    <w:p>
      <w:pPr>
        <w:spacing w:after="140" w:line="300"/>
      </w:pPr>
      <w:r>
        <w:rPr>
          <w:color w:val="1A1A1A"/>
          <w:sz w:val="21"/>
          <w:szCs w:val="21"/>
        </w:rPr>
        <w:t xml:space="preserve">A caller is a MACHINE, not an account. It holds no designation, appears in no user list, and is never granted a permission on the Role Permissions screen — every ownership and project-scope rule in Forge is written about a person, and answering those questions on behalf of a build server is not something the application should be asked to do. What a credential may do is written on the credential itself.</w:t>
      </w:r>
    </w:p>
    <w:p>
      <w:pPr>
        <w:pStyle w:val="ListParagraph"/>
        <w:numPr>
          <w:ilvl w:val="0"/>
          <w:numId w:val="64"/>
        </w:numPr>
        <w:spacing w:after="70" w:line="280"/>
      </w:pPr>
      <w:r>
        <w:rPr>
          <w:color w:val="1A1A1A"/>
          <w:sz w:val="21"/>
          <w:szCs w:val="21"/>
        </w:rPr>
        <w:t xml:space="preserve">FOUR LOCKS, in order, and every one of them can refuse on its own: the address it came from, the signature on the request, the credential it presented, and whether that credential is allowed the action it asked for.</w:t>
      </w:r>
    </w:p>
    <w:p>
      <w:pPr>
        <w:pStyle w:val="ListParagraph"/>
        <w:numPr>
          <w:ilvl w:val="0"/>
          <w:numId w:val="64"/>
        </w:numPr>
        <w:spacing w:after="70" w:line="280"/>
      </w:pPr>
      <w:r>
        <w:rPr>
          <w:color w:val="1A1A1A"/>
          <w:sz w:val="21"/>
          <w:szCs w:val="21"/>
        </w:rPr>
        <w:t xml:space="preserve">THE CREDENTIAL. Issued as a key, stored only as a SHA-256 hash — so the key itself exists nowhere in the database and cannot be read back out of it, only replaced. Each one carries the list of actions it is allowed; asking for anything outside that list is refused with 403, which is a different answer from "I do not know you" on purpose. Deactivating a credential stops it at once.</w:t>
      </w:r>
    </w:p>
    <w:p>
      <w:pPr>
        <w:pStyle w:val="ListParagraph"/>
        <w:numPr>
          <w:ilvl w:val="0"/>
          <w:numId w:val="64"/>
        </w:numPr>
        <w:spacing w:after="70" w:line="280"/>
      </w:pPr>
      <w:r>
        <w:rPr>
          <w:color w:val="1A1A1A"/>
          <w:sz w:val="21"/>
          <w:szCs w:val="21"/>
        </w:rPr>
        <w:t xml:space="preserve">THE SIGNATURE. Every request carries X-Integration-Signature with a timestamp and an HMAC-SHA256 over the timestamp, the method, the path and the exact bytes of the body. A request more than five minutes out of step with the server clock is refused whichever way it is out, so a captured request cannot be replayed later. Its secret is separate from the one Forge uses to sign what it sends OUT, so a leak in one direction is not a leak in both.</w:t>
      </w:r>
    </w:p>
    <w:p>
      <w:pPr>
        <w:pStyle w:val="ListParagraph"/>
        <w:numPr>
          <w:ilvl w:val="0"/>
          <w:numId w:val="64"/>
        </w:numPr>
        <w:spacing w:after="70" w:line="280"/>
      </w:pPr>
      <w:r>
        <w:rPr>
          <w:color w:val="1A1A1A"/>
          <w:sz w:val="21"/>
          <w:szCs w:val="21"/>
        </w:rPr>
        <w:t xml:space="preserve">ITS OWN ADDRESS LIST, separate from the sign-in allowlist in 13.5. Two different questions — which offices may sign in, and which machines may call the API — and answering them from one list would mean whoever maintains the studio’s offices silently decided whether a build server could reach Forge. It ships in MONITOR mode: it writes down what it would have refused and refuses nothing, until somebody confirms the real address and turns it on deliberately.</w:t>
      </w:r>
    </w:p>
    <w:p>
      <w:pPr>
        <w:pStyle w:val="ListParagraph"/>
        <w:numPr>
          <w:ilvl w:val="0"/>
          <w:numId w:val="64"/>
        </w:numPr>
        <w:spacing w:after="70" w:line="280"/>
      </w:pPr>
      <w:r>
        <w:rPr>
          <w:color w:val="1A1A1A"/>
          <w:sz w:val="21"/>
          <w:szCs w:val="21"/>
        </w:rPr>
        <w:t xml:space="preserve">A RATE LIMIT, the same shape as the one on sign-in. An external caller retrying a failing job in a loop is the ordinary way this becomes a problem.</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EVERY INTEGRATION ACTION APPEARS IN THE ACTIVITY LOG, NAMED</w:t>
            </w:r>
          </w:p>
          <w:p>
            <w:pPr>
              <w:spacing w:after="0" w:line="270"/>
            </w:pPr>
            <w:r>
              <w:rPr>
                <w:color w:val="1A1A1A"/>
                <w:sz w:val="19"/>
                <w:szCs w:val="19"/>
              </w:rPr>
              <w:t xml:space="preserve">A call that changes something is recorded like any other change, with the actor shown as "integration:&lt;name of the credential&gt;" rather than as a person or as a blank. The log is the answer to "who did this" and a machine is as answerable as anybody — which also means a credential that is later withdrawn leaves a history that can still be read.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SAME REQUEST TWICE DOES THE WORK ONCE</w:t>
            </w:r>
          </w:p>
          <w:p>
            <w:pPr>
              <w:spacing w:after="0" w:line="270"/>
            </w:pPr>
            <w:r>
              <w:rPr>
                <w:color w:val="1A1A1A"/>
                <w:sz w:val="19"/>
                <w:szCs w:val="19"/>
              </w:rPr>
              <w:t xml:space="preserve">Every call here that changes something carries an Idempotency-Key, chosen by the caller. Send the same key with the same request again — which is what a caller does when its connection dropped and it cannot tell whether the work landed — and Forge hands back the FIRST response without doing anything a second time. Send the same key with a DIFFERENT request and it is refused, because one of those two requests would otherwise be quietly lost.
The record of what happened is written in the same breath as the change itself, so there is no moment where one exists without the other. An attempt that fails writes nothing at all, which is what lets the caller simply send it again.
Keys are remembered for a week and then forgotten. That is longer than any real retry and short enough that the record does not grow forever — a caller that reuses a key a fortnight later is treated as making a new request, which is worth knowing if anything at your end recycles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IT IS NOT CONFIGURED, IT IS SHUT, NOT OPEN</w:t>
            </w:r>
          </w:p>
          <w:p>
            <w:pPr>
              <w:spacing w:after="0" w:line="270"/>
            </w:pPr>
            <w:r>
              <w:rPr>
                <w:color w:val="1A1A1A"/>
                <w:sz w:val="19"/>
                <w:szCs w:val="19"/>
              </w:rPr>
              <w:t xml:space="preserve">The signing secret lives in the server environment and nowhere else. A deployment where it has not been set answers every integration request with 503 and does no work, rather than treating "no secret" as "no signature needed" — which would turn a setup that was never finished into an open door, quietly, and only on the deployment where it mattered.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Nobody, in the sense this column usually means. There is no screen and no permission: credentials and addresses are set on the server by whoever runs the deployment, deliberately out of reach of anybody signed in to Forge — including the Super Admin. A door that the application could open for itself is not a door.</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5"/>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5"/>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5"/>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6"/>
        </w:numPr>
        <w:spacing w:after="70" w:line="280"/>
      </w:pPr>
      <w:r>
        <w:rPr>
          <w:color w:val="1A1A1A"/>
          <w:sz w:val="21"/>
          <w:szCs w:val="21"/>
        </w:rPr>
        <w:t xml:space="preserve">A section in the right chapter, written as steps somebody can follow.</w:t>
      </w:r>
    </w:p>
    <w:p>
      <w:pPr>
        <w:pStyle w:val="ListParagraph"/>
        <w:numPr>
          <w:ilvl w:val="0"/>
          <w:numId w:val="66"/>
        </w:numPr>
        <w:spacing w:after="70" w:line="280"/>
      </w:pPr>
      <w:r>
        <w:rPr>
          <w:color w:val="1A1A1A"/>
          <w:sz w:val="21"/>
          <w:szCs w:val="21"/>
        </w:rPr>
        <w:t xml:space="preserve">A screenshot, added to the capture script so it is re-taken on every build.</w:t>
      </w:r>
    </w:p>
    <w:p>
      <w:pPr>
        <w:pStyle w:val="ListParagraph"/>
        <w:numPr>
          <w:ilvl w:val="0"/>
          <w:numId w:val="66"/>
        </w:numPr>
        <w:spacing w:after="70" w:line="280"/>
      </w:pPr>
      <w:r>
        <w:rPr>
          <w:color w:val="1A1A1A"/>
          <w:sz w:val="21"/>
          <w:szCs w:val="21"/>
        </w:rPr>
        <w:t xml:space="preserve">A role note, naming the access band — which the permission tables will already know about.</w:t>
      </w:r>
    </w:p>
    <w:p>
      <w:pPr>
        <w:pStyle w:val="ListParagraph"/>
        <w:numPr>
          <w:ilvl w:val="0"/>
          <w:numId w:val="66"/>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2026-09-28T14:32:47.670Z</dcterms:created>
  <dcterms:modified xsi:type="dcterms:W3CDTF">2026-09-28T14:32:47.670Z</dcterms:modified>
</cp:coreProperties>
</file>

<file path=docProps/custom.xml><?xml version="1.0" encoding="utf-8"?>
<Properties xmlns="http://schemas.openxmlformats.org/officeDocument/2006/custom-properties" xmlns:vt="http://schemas.openxmlformats.org/officeDocument/2006/docPropsVTypes"/>
</file>