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QOrium v2.0 Ratification Record</w:t>
      </w:r>
    </w:p>
    <w:p>
      <w:pPr>
        <w:pStyle w:val="Heading1"/>
      </w:pPr>
      <w:bookmarkStart w:id="20" w:name="X9c6395d9ba0d14173903a49ac6f6fda1e2ba463"/>
      <w:r>
        <w:t xml:space="preserve">QOrium Constitution v2.0 — Ratification Record</w:t>
      </w:r>
      <w:bookmarkEnd w:id="20"/>
    </w:p>
    <w:p>
      <w:pPr>
        <w:pStyle w:val="FirstParagraph"/>
      </w:pPr>
      <w:r>
        <w:rPr>
          <w:b/>
        </w:rPr>
        <w:t xml:space="preserve">Subject:</w:t>
      </w:r>
      <w:r>
        <w:t xml:space="preserve"> </w:t>
      </w:r>
      <w:r>
        <w:t xml:space="preserve">Formal ratification of QOrium Constitution v2.0 + answers to the 9 Pre-Execution Decisions (Constitution Appendix C / Standing Order #2)</w:t>
      </w:r>
      <w:r>
        <w:t xml:space="preserve"> </w:t>
      </w:r>
      <w:r>
        <w:rPr>
          <w:b/>
        </w:rPr>
        <w:t xml:space="preserve">Date of ratification event: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</w:rPr>
        <w:t xml:space="preserve">Filed under:</w:t>
      </w:r>
      <w:r>
        <w:t xml:space="preserve"> </w:t>
      </w:r>
      <w:r>
        <w:t xml:space="preserve">Constitution v2.0 Article XI §11.2 (Adoption); §11.3 (Constitutional Override is NOT invoked — this is normal adoption)</w:t>
      </w:r>
      <w:r>
        <w:t xml:space="preserve"> </w:t>
      </w:r>
      <w:r>
        <w:rPr>
          <w:b/>
        </w:rPr>
        <w:t xml:space="preserve">Ratification effective:</w:t>
      </w:r>
      <w:r>
        <w:t xml:space="preserve"> </w:t>
      </w:r>
      <w:r>
        <w:t xml:space="preserve">Immediately, on the date of this record</w:t>
      </w:r>
      <w:r>
        <w:t xml:space="preserve"> </w:t>
      </w:r>
      <w:r>
        <w:rPr>
          <w:b/>
        </w:rPr>
        <w:t xml:space="preserve">Constitution authoritative text:</w:t>
      </w:r>
      <w:r>
        <w:t xml:space="preserve"> </w:t>
      </w:r>
      <w:r>
        <w:rPr>
          <w:rStyle w:val="VerbatimChar"/>
        </w:rPr>
        <w:t xml:space="preserve">09-QOrium-Constitution-v2.0.md/.docx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eo-delegation-statement"/>
      <w:r>
        <w:t xml:space="preserve">§1. CEO Delegation Statement</w:t>
      </w:r>
      <w:bookmarkEnd w:id="21"/>
    </w:p>
    <w:p>
      <w:pPr>
        <w:pStyle w:val="FirstParagraph"/>
      </w:pPr>
      <w:r>
        <w:t xml:space="preserve">On the date of this record,</w:t>
      </w:r>
      <w:r>
        <w:t xml:space="preserve"> </w:t>
      </w:r>
      <w:r>
        <w:rPr>
          <w:b/>
        </w:rPr>
        <w:t xml:space="preserve">Bhaskar Anand, CEO of Talpro Universe</w:t>
      </w:r>
      <w:r>
        <w:t xml:space="preserve">, formally delegated authority to the</w:t>
      </w:r>
      <w:r>
        <w:t xml:space="preserve"> </w:t>
      </w:r>
      <w:r>
        <w:rPr>
          <w:b/>
        </w:rPr>
        <w:t xml:space="preserve">CTO Office</w:t>
      </w:r>
      <w:r>
        <w:t xml:space="preserve"> </w:t>
      </w:r>
      <w:r>
        <w:t xml:space="preserve">to:</w:t>
      </w:r>
    </w:p>
    <w:p>
      <w:pPr>
        <w:numPr>
          <w:ilvl w:val="0"/>
          <w:numId w:val="1001"/>
        </w:numPr>
        <w:pStyle w:val="Compact"/>
      </w:pPr>
      <w:r>
        <w:t xml:space="preserve">Ratify QOrium Constitution v2.0 (lifting it from</w:t>
      </w:r>
      <w:r>
        <w:t xml:space="preserve"> </w:t>
      </w:r>
      <w:r>
        <w:rPr>
          <w:rStyle w:val="VerbatimChar"/>
        </w:rPr>
        <w:t xml:space="preserve">provisional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effective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Answer the 9 Pre-Execution Decisions (Constitution Appendix C / Standing Order #2)</w:t>
      </w:r>
    </w:p>
    <w:p>
      <w:pPr>
        <w:numPr>
          <w:ilvl w:val="0"/>
          <w:numId w:val="1001"/>
        </w:numPr>
        <w:pStyle w:val="Compact"/>
      </w:pPr>
      <w:r>
        <w:t xml:space="preserve">Trigger the Phase 0 → Phase 1 transition per Constitution Article IX</w:t>
      </w:r>
    </w:p>
    <w:p>
      <w:pPr>
        <w:pStyle w:val="FirstParagraph"/>
      </w:pPr>
      <w:r>
        <w:t xml:space="preserve">The CEO’s instruction (verbatim, transcribed from CEO message in QOrium space May 2026):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Now Act as per CTO Recommendation. Let CTO Handles Owned and answer to approve Constitution v2.0 is provisional until you ratify + answer the 9 pre-execution decisions in Appendix C. Once both are done, the build begins per Article IX Phase 1 milestones.</w:t>
      </w:r>
      <w:r>
        <w:rPr>
          <w:i/>
        </w:rPr>
        <w:t xml:space="preserve">”</w:t>
      </w:r>
    </w:p>
    <w:p>
      <w:pPr>
        <w:pStyle w:val="BodyText"/>
      </w:pPr>
      <w:r>
        <w:t xml:space="preserve">This delegation is consistent with Constitution §1.3 (</w:t>
      </w:r>
      <w:r>
        <w:t xml:space="preserve">“</w:t>
      </w:r>
      <w:r>
        <w:t xml:space="preserve">Where this Constitution does not anticipate a situation, the CEO’s interpretation is binding</w:t>
      </w:r>
      <w:r>
        <w:t xml:space="preserve">”</w:t>
      </w:r>
      <w:r>
        <w:t xml:space="preserve">) and Article II §2.2 (the CEO retains override authority but may delegate operational decisions). The delegation is</w:t>
      </w:r>
      <w:r>
        <w:t xml:space="preserve"> </w:t>
      </w:r>
      <w:r>
        <w:rPr>
          <w:b/>
        </w:rPr>
        <w:t xml:space="preserve">time-bounded to this ratification event</w:t>
      </w:r>
      <w:r>
        <w:t xml:space="preserve"> </w:t>
      </w:r>
      <w:r>
        <w:t xml:space="preserve">— it does not transfer ongoing CEO-reserved authority (capital, hiring, partnerships, pricing policy beyond this ratification) to the CTO Office on a recurring basis.</w:t>
      </w:r>
    </w:p>
    <w:p>
      <w:pPr>
        <w:pStyle w:val="BodyText"/>
      </w:pPr>
      <w:r>
        <w:t xml:space="preserve">The CTO Office records this delegation as documented in</w:t>
      </w:r>
      <w:r>
        <w:t xml:space="preserve"> </w:t>
      </w:r>
      <w:r>
        <w:rPr>
          <w:rStyle w:val="VerbatimChar"/>
        </w:rPr>
        <w:t xml:space="preserve">_shared/QUEUE.md</w:t>
      </w:r>
      <w:r>
        <w:t xml:space="preserve"> </w:t>
      </w:r>
      <w:r>
        <w:t xml:space="preserve">per Article IV Lock 1 protocol, with this Ratification Record as the evidentiary artifact.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04a075de191871036e640a497fbfa08ada9a84c"/>
      <w:r>
        <w:t xml:space="preserve">§2. The 9 Pre-Execution Decisions — CTO Recommendation &amp; Approval</w:t>
      </w:r>
      <w:bookmarkEnd w:id="22"/>
    </w:p>
    <w:p>
      <w:pPr>
        <w:pStyle w:val="FirstParagraph"/>
      </w:pPr>
      <w:r>
        <w:t xml:space="preserve">Each decision below is formally answered. Where the CTO recommendation aligns with the Constitution’s draft positions (as captured in Appendix C of v2.0 and the underlying Blueprint v1.1 §13), the answer is documented as PROCEED. Where any recommendation diverged, that divergence would be flagged here — none did.</w:t>
      </w:r>
    </w:p>
    <w:p>
      <w:pPr>
        <w:pStyle w:val="Heading3"/>
      </w:pPr>
      <w:bookmarkStart w:id="23" w:name="decision-1-confirm-product-name-qorium"/>
      <w:r>
        <w:t xml:space="preserve">Decision 1 — Confirm Product Name</w:t>
      </w:r>
      <w:r>
        <w:t xml:space="preserve"> </w:t>
      </w:r>
      <w:r>
        <w:t xml:space="preserve">“</w:t>
      </w:r>
      <w:r>
        <w:t xml:space="preserve">QOrium</w:t>
      </w:r>
      <w:r>
        <w:t xml:space="preserve">”</w:t>
      </w:r>
      <w:bookmarkEnd w:id="23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The name has been used consistently across all 13 deliverables in the project folder; tested across the full external-facing materials suite (CEO Deck, market analysis, competitor positioning, sales playbook); pronounceable; non-conflicting with major competitor names per quick search; available as</w:t>
      </w:r>
      <w:r>
        <w:t xml:space="preserve"> </w:t>
      </w:r>
      <w:r>
        <w:rPr>
          <w:rStyle w:val="VerbatimChar"/>
        </w:rPr>
        <w:t xml:space="preserve">qorium.io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 </w:t>
      </w:r>
      <w:r>
        <w:t xml:space="preserve">domain candidates. The name is locked into Constitution §1.1 (Mission, Vision, USP) which is itself a Locked Clause per Article XI §11.4. Renaming would require founder + Board approval. No grounds for divergence.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Domain registration (</w:t>
      </w:r>
      <w:r>
        <w:rPr>
          <w:rStyle w:val="VerbatimChar"/>
        </w:rPr>
        <w:t xml:space="preserve">qorium.io</w:t>
      </w:r>
      <w:r>
        <w:t xml:space="preserve">,</w:t>
      </w:r>
      <w:r>
        <w:t xml:space="preserve"> </w:t>
      </w:r>
      <w:r>
        <w:rPr>
          <w:rStyle w:val="VerbatimChar"/>
        </w:rPr>
        <w:t xml:space="preserve">qorium.in</w:t>
      </w:r>
      <w:r>
        <w:t xml:space="preserve">), trademark filing (India + US, Class 9 + 42), social handle reservation (LinkedIn, Twitter, GitHub, npm). Owner: CEO + CTO. ETA: Phase 0 (Day 0–14).</w:t>
      </w:r>
    </w:p>
    <w:p>
      <w:pPr>
        <w:pStyle w:val="Heading3"/>
      </w:pPr>
      <w:bookmarkStart w:id="24" w:name="Xbc5543b89efbeccdf5e864f1ba5596c61c7cdb5"/>
      <w:r>
        <w:t xml:space="preserve">Decision 2 — Sanction ₹50 lakh (₹50,00,000) Runway for Months 0–3</w:t>
      </w:r>
      <w:bookmarkEnd w:id="24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The ₹50L envelope covers Months 0–3 with the following indicative allocation: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Allocation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First-2-hires payroll (Senior Eng + SME Lead, Months 2–3 only)</w:t>
            </w:r>
          </w:p>
        </w:tc>
        <w:tc>
          <w:p>
            <w:pPr>
              <w:pStyle w:val="Compact"/>
              <w:jc w:val="left"/>
            </w:pPr>
            <w:r>
              <w:t xml:space="preserve">~₹16L</w:t>
            </w:r>
          </w:p>
        </w:tc>
        <w:tc>
          <w:p>
            <w:pPr>
              <w:pStyle w:val="Compact"/>
              <w:jc w:val="left"/>
            </w:pPr>
            <w:r>
              <w:t xml:space="preserve">₹4L/month each × 2 hires × 2 months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Cloud + AI APIs (Hostinger VPS upgrade if needed; Anthropic + OpenAI + Gemini token budget; Serper.dev)</w:t>
            </w:r>
          </w:p>
        </w:tc>
        <w:tc>
          <w:p>
            <w:pPr>
              <w:pStyle w:val="Compact"/>
              <w:jc w:val="left"/>
            </w:pPr>
            <w:r>
              <w:t xml:space="preserve">~₹12L</w:t>
            </w:r>
          </w:p>
        </w:tc>
        <w:tc>
          <w:p>
            <w:pPr>
              <w:pStyle w:val="Compact"/>
              <w:jc w:val="left"/>
            </w:pPr>
            <w:r>
              <w:t xml:space="preserve">Heavy AI generation budget for first 5K questions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Content production + Reference Panel seeding</w:t>
            </w:r>
          </w:p>
        </w:tc>
        <w:tc>
          <w:p>
            <w:pPr>
              <w:pStyle w:val="Compact"/>
              <w:jc w:val="left"/>
            </w:pPr>
            <w:r>
              <w:t xml:space="preserve">~₹10L</w:t>
            </w:r>
          </w:p>
        </w:tc>
        <w:tc>
          <w:p>
            <w:pPr>
              <w:pStyle w:val="Compact"/>
              <w:jc w:val="left"/>
            </w:pPr>
            <w:r>
              <w:t xml:space="preserve">First 5,000 questions × ~₹150–200 blended cost + first 200 paid candidates @ ₹50–100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Tooling, licenses, software</w:t>
            </w:r>
          </w:p>
        </w:tc>
        <w:tc>
          <w:p>
            <w:pPr>
              <w:pStyle w:val="Compact"/>
              <w:jc w:val="left"/>
            </w:pPr>
            <w:r>
              <w:t xml:space="preserve">~₹4L</w:t>
            </w:r>
          </w:p>
        </w:tc>
        <w:tc>
          <w:p>
            <w:pPr>
              <w:pStyle w:val="Compact"/>
              <w:jc w:val="left"/>
            </w:pPr>
            <w:r>
              <w:t xml:space="preserve">HubSpot, GitHub, Linear/Notion, Sentry, Grafana Cloud, gitleaks, etc.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Legal + IP filings (trademark, copyright, MSA templates, DPA templates)</w:t>
            </w:r>
          </w:p>
        </w:tc>
        <w:tc>
          <w:p>
            <w:pPr>
              <w:pStyle w:val="Compact"/>
              <w:jc w:val="left"/>
            </w:pPr>
            <w:r>
              <w:t xml:space="preserve">~₹4L</w:t>
            </w:r>
          </w:p>
        </w:tc>
        <w:tc>
          <w:p>
            <w:pPr>
              <w:pStyle w:val="Compact"/>
              <w:jc w:val="left"/>
            </w:pPr>
            <w:r>
              <w:t xml:space="preserve">Legal counsel retainer + first filings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Buffer / contingency (10%)</w:t>
            </w:r>
          </w:p>
        </w:tc>
        <w:tc>
          <w:p>
            <w:pPr>
              <w:pStyle w:val="Compact"/>
              <w:jc w:val="left"/>
            </w:pPr>
            <w:r>
              <w:t xml:space="preserve">~₹4L</w:t>
            </w:r>
          </w:p>
        </w:tc>
        <w:tc>
          <w:p>
            <w:pPr>
              <w:pStyle w:val="Compact"/>
              <w:jc w:val="left"/>
            </w:pPr>
            <w:r>
              <w:t xml:space="preserve">Reserved for Phase 0 unknowns</w:t>
            </w:r>
          </w:p>
        </w:tc>
      </w:tr>
    </w:tbl>
    <w:p>
      <w:pPr>
        <w:pStyle w:val="BodyText"/>
      </w:pPr>
      <w:r>
        <w:rPr>
          <w:b/>
        </w:rPr>
        <w:t xml:space="preserve">This is a recommendation envelope; CEO physical action required</w:t>
      </w:r>
      <w:r>
        <w:t xml:space="preserve"> </w:t>
      </w:r>
      <w:r>
        <w:t xml:space="preserve">to actually move capital into a QOrium-ringfenced account or budget line. Burn rate target: ~₹15L/month for Months 1–3, increasing to ~₹25L/month by Month 6 as hires complete.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CEO opens QOrium-ringfenced account or Talpro Universe sub-budget; capital transfer scheduled; finance reporting to CTO weekly. Owner: CEO. ETA: Phase 0 (Day 0–7).</w:t>
      </w:r>
    </w:p>
    <w:p>
      <w:pPr>
        <w:pStyle w:val="Heading3"/>
      </w:pPr>
      <w:bookmarkStart w:id="25" w:name="X88e7cc2db923e1a637c7d2727513df4c581d3cf"/>
      <w:r>
        <w:t xml:space="preserve">Decision 3 — Talpro India = Customer Zero from Month 1</w:t>
      </w:r>
      <w:bookmarkEnd w:id="25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The Customer Zero pattern is codified in Constitution Standing Order #1 (Talpro Customer Zero Mandate) and reinforced in Bali Sales Playbook §2.9. This is a structural pattern across all Talpro Universe ventures — provides zero-CAC reference, instant feedback loop, marquee credibility for external sales. QOrium is the ideal candidate: Talpro India runs ~500+ GCC placements/year through assessment-platform-screened drives. Aligned with the strategic thesis.</w:t>
      </w:r>
    </w:p>
    <w:p>
      <w:pPr>
        <w:pStyle w:val="BodyText"/>
      </w:pPr>
      <w:r>
        <w:rPr>
          <w:b/>
        </w:rPr>
        <w:t xml:space="preserve">Scope of Customer Zero engagement (formalized here):</w:t>
      </w:r>
      <w:r>
        <w:t xml:space="preserve"> </w:t>
      </w:r>
      <w:r>
        <w:t xml:space="preserve">- Talpro India switches its internal candidate-screening assessments to QOrium ReadyBank from Month 1</w:t>
      </w:r>
      <w:r>
        <w:t xml:space="preserve"> </w:t>
      </w:r>
      <w:r>
        <w:t xml:space="preserve">- Initial scope: top 5 most-screened roles (Senior Java, React, SQL/Data, DevOps, Salesforce)</w:t>
      </w:r>
      <w:r>
        <w:t xml:space="preserve"> </w:t>
      </w:r>
      <w:r>
        <w:t xml:space="preserve">- Volume target: 100+ candidates run through QOrium by end of Phase 1 (Month 3)</w:t>
      </w:r>
      <w:r>
        <w:t xml:space="preserve"> </w:t>
      </w:r>
      <w:r>
        <w:t xml:space="preserve">- Feedback loop: Talpro India delivery team provides weekly written feedback to QOrium CDO</w:t>
      </w:r>
      <w:r>
        <w:t xml:space="preserve"> </w:t>
      </w:r>
      <w:r>
        <w:t xml:space="preserve">- Marketing usage: Talpro India consents to public</w:t>
      </w:r>
      <w:r>
        <w:t xml:space="preserve"> </w:t>
      </w:r>
      <w:r>
        <w:t xml:space="preserve">“</w:t>
      </w:r>
      <w:r>
        <w:t xml:space="preserve">powered by QOrium</w:t>
      </w:r>
      <w:r>
        <w:t xml:space="preserve">”</w:t>
      </w:r>
      <w:r>
        <w:t xml:space="preserve"> </w:t>
      </w:r>
      <w:r>
        <w:t xml:space="preserve">reference status from Month 3 onwards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Talpro India Delivery Head + CTO Office scope the Month 1 rollout; QOrium internal-namespace API key issued to Talpro India; weekly feedback channel established. Owner: CTO + Talpro Delivery Head. ETA: Phase 0 (Day 0–21).</w:t>
      </w:r>
    </w:p>
    <w:p>
      <w:pPr>
        <w:pStyle w:val="Heading3"/>
      </w:pPr>
      <w:bookmarkStart w:id="26" w:name="Xbe7f3264df26a00bde525855b7e02e57e60cc6d"/>
      <w:r>
        <w:t xml:space="preserve">Decision 4 — Bosch GCC Bengaluru as Stack-Vault Logo #1 Target</w:t>
      </w:r>
      <w:bookmarkEnd w:id="26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Bosch GCC is the ideal Stack-Vault Logo #1 for four reasons: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CEO has existing relationship</w:t>
      </w:r>
      <w:r>
        <w:t xml:space="preserve"> </w:t>
      </w:r>
      <w:r>
        <w:t xml:space="preserve">— warm intro path validated; no cold-outreach sales cycle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Stack fit</w:t>
      </w:r>
      <w:r>
        <w:t xml:space="preserve"> </w:t>
      </w:r>
      <w:r>
        <w:t xml:space="preserve">— Bosch GCC’s hiring mix (embedded automotive + Salesforce + SAP) is precisely QOrium’s wedge content area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Volume</w:t>
      </w:r>
      <w:r>
        <w:t xml:space="preserve"> </w:t>
      </w:r>
      <w:r>
        <w:t xml:space="preserve">— Bosch’s ~5,000+ candidate assessments/quarter justifies the ₹40L Stack-Vault Enterprise tier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Marquee status</w:t>
      </w:r>
      <w:r>
        <w:t xml:space="preserve"> </w:t>
      </w:r>
      <w:r>
        <w:t xml:space="preserve">— Bosch is a globally recognized GCC; the reference is reusable for every subsequent enterprise sale</w:t>
      </w:r>
    </w:p>
    <w:p>
      <w:pPr>
        <w:pStyle w:val="FirstParagraph"/>
      </w:pPr>
      <w:r>
        <w:rPr>
          <w:b/>
        </w:rPr>
        <w:t xml:space="preserve">Risk acknowledged:</w:t>
      </w:r>
      <w:r>
        <w:t xml:space="preserve"> </w:t>
      </w:r>
      <w:r>
        <w:t xml:space="preserve">If Bosch’s procurement timeline exceeds 6 months (per Constitution Article X risk register), the M6 Phase 2 milestone</w:t>
      </w:r>
      <w:r>
        <w:t xml:space="preserve"> </w:t>
      </w:r>
      <w:r>
        <w:t xml:space="preserve">“</w:t>
      </w:r>
      <w:r>
        <w:t xml:space="preserve">Stack-Vault Logo #1 signed</w:t>
      </w:r>
      <w:r>
        <w:t xml:space="preserve">”</w:t>
      </w:r>
      <w:r>
        <w:t xml:space="preserve"> </w:t>
      </w:r>
      <w:r>
        <w:t xml:space="preserve">may slip. Mitigation per Bali Sales Playbook §3.7 objection-handling: bridge with JD-Forge Reviewed subscription ($1,999/month, no procurement gate) for 90 days as pilot before Stack-Vault contract.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CEO sends warm-intro email to Sandhya (or equivalent TA Head at Bosch GCC) Week 1 of execution; sample 50-question pack on top role prepared by CTO + SME Lead by Week 4; first discovery call booked Week 2. Owner: CEO + CTO. ETA: Phase 0–Phase 1 (Day 0–60).</w:t>
      </w:r>
    </w:p>
    <w:p>
      <w:pPr>
        <w:pStyle w:val="Heading3"/>
      </w:pPr>
      <w:bookmarkStart w:id="27" w:name="X2758969ea232fd0a3fd4b89a8ed4723eb22ba11"/>
      <w:r>
        <w:t xml:space="preserve">Decision 5 — CTO Bandwidth ~50% Allocation to QOrium for Year 1</w:t>
      </w:r>
      <w:bookmarkEnd w:id="27"/>
    </w:p>
    <w:p>
      <w:pPr>
        <w:pStyle w:val="FirstParagraph"/>
      </w:pPr>
      <w:r>
        <w:rPr>
          <w:b/>
        </w:rPr>
        <w:t xml:space="preserve">Answer: APPROVED — PROCEED. (CTO Office self-acknowledgment.)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This is the CTO Office formally acknowledging its own resource commitment. The 50% allocation is realistic given the multi-hat requirement in Year 1 (Manthan operator + IdeaForge operator + CDO + Gatekeeper + engineering execution). Remaining 50% allocated across other Talpro Universe ventures (LeadHunter, ProveIQ, HireIQ Pro, Maitro, JAYA, etc.).</w:t>
      </w:r>
    </w:p>
    <w:p>
      <w:pPr>
        <w:pStyle w:val="BodyText"/>
      </w:pPr>
      <w:r>
        <w:rPr>
          <w:b/>
        </w:rPr>
        <w:t xml:space="preserve">Bandwidth-protection commitments:</w:t>
      </w:r>
      <w:r>
        <w:t xml:space="preserve"> </w:t>
      </w:r>
      <w:r>
        <w:t xml:space="preserve">- 1 day/week (Friday) reserved for QOrium engineering review + CDO content review + Gatekeeper gate review</w:t>
      </w:r>
      <w:r>
        <w:t xml:space="preserve"> </w:t>
      </w:r>
      <w:r>
        <w:t xml:space="preserve">- 2 hours/Monday reserved for QOrium strategic 1:1 with CEO</w:t>
      </w:r>
      <w:r>
        <w:t xml:space="preserve"> </w:t>
      </w:r>
      <w:r>
        <w:t xml:space="preserve">- Daily QOrium standup (15 min)</w:t>
      </w:r>
      <w:r>
        <w:t xml:space="preserve"> </w:t>
      </w:r>
      <w:r>
        <w:t xml:space="preserve">- All other Talpro Universe ventures take a back-seat priority for any QOrium Sev 1 incident</w:t>
      </w:r>
    </w:p>
    <w:p>
      <w:pPr>
        <w:pStyle w:val="BodyText"/>
      </w:pPr>
      <w:r>
        <w:rPr>
          <w:b/>
        </w:rPr>
        <w:t xml:space="preserve">Mitigation if 50% proves insufficient:</w:t>
      </w:r>
      <w:r>
        <w:t xml:space="preserve"> </w:t>
      </w:r>
      <w:r>
        <w:t xml:space="preserve">First Senior Engineer hire (Month 2) absorbs Content Engine ownership; SME Content Lead (Month 2) absorbs CDO-content-pipeline ownership; I/O Psych contractor (Month 4) absorbs CDO-calibration ownership. By Month 9 (full I/O Psych FTE), CTO bandwidth requirement drops to ~30% (architecture review + Gatekeeper oversight only).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CTO communicates allocation explicitly to other Talpro Universe venture leads; CTO Architecture v1 §15 Hiring Plan executed on schedule. Owner: CTO. ETA: Continuous from Day 0.</w:t>
      </w:r>
    </w:p>
    <w:p>
      <w:pPr>
        <w:pStyle w:val="Heading3"/>
      </w:pPr>
      <w:bookmarkStart w:id="28" w:name="Xd0b7dc1ebacb85528366b01b657874f46b0493f"/>
      <w:r>
        <w:t xml:space="preserve">Decision 6 — Authority for First 5 Hires (CEO + CTO Sign-Off, No Further Board Approval)</w:t>
      </w:r>
      <w:bookmarkEnd w:id="28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The first 5 hires are critical-path and operationally well-scoped. Requiring board approval per hire would add 4–8 weeks to each, jeopardizing Phase 1 milestones. The 5 hires: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Month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Compensation 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Critical Path For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Senior Engineer — Content Engine</w:t>
            </w:r>
          </w:p>
        </w:tc>
        <w:tc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p>
            <w:pPr>
              <w:pStyle w:val="Compact"/>
              <w:jc w:val="left"/>
            </w:pPr>
            <w:r>
              <w:t xml:space="preserve">₹35–55L/yr</w:t>
            </w:r>
          </w:p>
        </w:tc>
        <w:tc>
          <w:p>
            <w:pPr>
              <w:pStyle w:val="Compact"/>
              <w:jc w:val="left"/>
            </w:pPr>
            <w:r>
              <w:t xml:space="preserve">Content Engine production; AI pipeline; Anti-Leak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SME Content Lead</w:t>
            </w:r>
          </w:p>
        </w:tc>
        <w:tc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p>
            <w:pPr>
              <w:pStyle w:val="Compact"/>
              <w:jc w:val="left"/>
            </w:pPr>
            <w:r>
              <w:t xml:space="preserve">₹25–45L/yr</w:t>
            </w:r>
          </w:p>
        </w:tc>
        <w:tc>
          <w:p>
            <w:pPr>
              <w:pStyle w:val="Compact"/>
              <w:jc w:val="left"/>
            </w:pPr>
            <w:r>
              <w:t xml:space="preserve">Question quality bar; SME contractor onboarding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AE — Enterprise</w:t>
            </w:r>
          </w:p>
        </w:tc>
        <w:tc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p>
            <w:pPr>
              <w:pStyle w:val="Compact"/>
              <w:jc w:val="left"/>
            </w:pPr>
            <w:r>
              <w:t xml:space="preserve">₹30–50L/yr base + variable</w:t>
            </w:r>
          </w:p>
        </w:tc>
        <w:tc>
          <w:p>
            <w:pPr>
              <w:pStyle w:val="Compact"/>
              <w:jc w:val="left"/>
            </w:pPr>
            <w:r>
              <w:t xml:space="preserve">Stack-Vault sales motion; Bosch GCC + 4 other GCC pipelines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BD — Platforms</w:t>
            </w:r>
          </w:p>
        </w:tc>
        <w:tc>
          <w:p>
            <w:pPr>
              <w:pStyle w:val="Compact"/>
              <w:jc w:val="left"/>
            </w:pPr>
            <w:r>
              <w:t xml:space="preserve">Month 3</w:t>
            </w:r>
          </w:p>
        </w:tc>
        <w:tc>
          <w:p>
            <w:pPr>
              <w:pStyle w:val="Compact"/>
              <w:jc w:val="left"/>
            </w:pPr>
            <w:r>
              <w:t xml:space="preserve">₹30–50L/yr base + variable</w:t>
            </w:r>
          </w:p>
        </w:tc>
        <w:tc>
          <w:p>
            <w:pPr>
              <w:pStyle w:val="Compact"/>
              <w:jc w:val="left"/>
            </w:pPr>
            <w:r>
              <w:t xml:space="preserve">ReadyBank API platform partnerships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I/O Psychologist (contractor → FTE Month 9)</w:t>
            </w:r>
          </w:p>
        </w:tc>
        <w:tc>
          <w:p>
            <w:pPr>
              <w:pStyle w:val="Compact"/>
              <w:jc w:val="left"/>
            </w:pPr>
            <w:r>
              <w:t xml:space="preserve">Month 4</w:t>
            </w:r>
          </w:p>
        </w:tc>
        <w:tc>
          <w:p>
            <w:pPr>
              <w:pStyle w:val="Compact"/>
              <w:jc w:val="left"/>
            </w:pPr>
            <w:r>
              <w:t xml:space="preserve">₹50,000–₹100,000/month contractor; ₹40–60L/yr FTE</w:t>
            </w:r>
          </w:p>
        </w:tc>
        <w:tc>
          <w:p>
            <w:pPr>
              <w:pStyle w:val="Compact"/>
              <w:jc w:val="left"/>
            </w:pPr>
            <w:r>
              <w:t xml:space="preserve">IRT calibration; SO-21 implementation; assessment science</w:t>
            </w:r>
          </w:p>
        </w:tc>
      </w:tr>
    </w:tbl>
    <w:p>
      <w:pPr>
        <w:pStyle w:val="BodyText"/>
      </w:pPr>
      <w:r>
        <w:rPr>
          <w:b/>
        </w:rPr>
        <w:t xml:space="preserve">Governance for hires #6–10 (later hires):</w:t>
      </w:r>
      <w:r>
        <w:t xml:space="preserve"> </w:t>
      </w:r>
      <w:r>
        <w:t xml:space="preserve">Reverts to standard board approval process unless this delegation is renewed at next Constitutional review (Quarterly).</w:t>
      </w:r>
    </w:p>
    <w:p>
      <w:pPr>
        <w:pStyle w:val="BodyText"/>
      </w:pPr>
      <w:r>
        <w:rPr>
          <w:b/>
        </w:rPr>
        <w:t xml:space="preserve">Authority mechanics:</w:t>
      </w:r>
      <w:r>
        <w:t xml:space="preserve"> </w:t>
      </w:r>
      <w:r>
        <w:t xml:space="preserve">CEO + CTO joint sign-off on offer letter; CFO/CEO countersign on payroll setup. Documented in</w:t>
      </w:r>
      <w:r>
        <w:t xml:space="preserve"> </w:t>
      </w:r>
      <w:r>
        <w:rPr>
          <w:rStyle w:val="VerbatimChar"/>
        </w:rPr>
        <w:t xml:space="preserve">_shared/QUEUE.md</w:t>
      </w:r>
      <w:r>
        <w:t xml:space="preserve">.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Job descriptions drafted (CTO produces engineering JDs by Day 7; AE/BD JDs by Day 14); search opens via NIT/IIT alumni networks + Naukri + LinkedIn; Talpro Universe internal referral encouraged. Owner: CEO + CTO. ETA: Phase 0 (Day 0–60 for first 4 hires).</w:t>
      </w:r>
    </w:p>
    <w:p>
      <w:pPr>
        <w:pStyle w:val="Heading3"/>
      </w:pPr>
      <w:bookmarkStart w:id="29" w:name="X30c188716902f421ecc695c8b68ae6fafe43749"/>
      <w:r>
        <w:t xml:space="preserve">Decision 7 — SKU Naming: ReadyBank, JD-Forge, Stack-Vault</w:t>
      </w:r>
      <w:bookmarkEnd w:id="29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The three SKU names are descriptive (each tells the use case in one word), pronounceable, available as domain prefixes (</w:t>
      </w:r>
      <w:r>
        <w:rPr>
          <w:rStyle w:val="VerbatimChar"/>
        </w:rPr>
        <w:t xml:space="preserve">readybank.qorium.io</w:t>
      </w:r>
      <w:r>
        <w:t xml:space="preserve">,</w:t>
      </w:r>
      <w:r>
        <w:t xml:space="preserve"> </w:t>
      </w:r>
      <w:r>
        <w:rPr>
          <w:rStyle w:val="VerbatimChar"/>
        </w:rPr>
        <w:t xml:space="preserve">jd-forge.qorium.io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stack-vault.qorium.io</w:t>
      </w:r>
      <w:r>
        <w:t xml:space="preserve">), non-conflicting with major competitor product names per quick search. They are locked into Constitution §1.2 as Locked Clauses per Article XI §11.4 — renaming would require founder + Board approval.</w:t>
      </w:r>
    </w:p>
    <w:p>
      <w:pPr>
        <w:pStyle w:val="BodyText"/>
      </w:pPr>
      <w:r>
        <w:rPr>
          <w:b/>
        </w:rPr>
        <w:t xml:space="preserve">Marketing review opportunity:</w:t>
      </w:r>
      <w:r>
        <w:t xml:space="preserve"> </w:t>
      </w:r>
      <w:r>
        <w:t xml:space="preserve">A future marketing hire (Month 11 per Bali Playbook §2) may propose surface-level branding refreshes, but the SKU semantic identity is locked. Any name change post-Phase 1 launch would be more costly than valuable.</w:t>
      </w:r>
    </w:p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None for Phase 0 — names are already used across all deliverables and external materials. Continuous: brand consistency check on every external communication. Owner: Bali (sales/marketing). ETA: Continuous.</w:t>
      </w:r>
    </w:p>
    <w:p>
      <w:pPr>
        <w:pStyle w:val="Heading3"/>
      </w:pPr>
      <w:bookmarkStart w:id="30" w:name="Xcaa78fb8193d86884fb0989838c539f9c5a9c72"/>
      <w:r>
        <w:t xml:space="preserve">Decision 8 — Stack-Vault Enterprise Pricing Anchor: ₹40 lakh/year</w:t>
      </w:r>
      <w:bookmarkEnd w:id="30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₹40L/year is the median of the recommended tier range (₹10L Department / ₹40L Enterprise / ₹1Cr+ Group). It anchors above mid-market threshold but below the Group tier ceiling, leaving negotiation room in both directions. Justified by: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Customer math</w:t>
      </w:r>
      <w:r>
        <w:t xml:space="preserve"> </w:t>
      </w:r>
      <w:r>
        <w:t xml:space="preserve">— Bosch GCC’s ~20,000 candidate assessments/year × ~₹500 savings vs current platform spend = ~₹1Cr/year value capture; ₹40L spend = 40% of value, leaving 60% for the customer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CAC math</w:t>
      </w:r>
      <w:r>
        <w:t xml:space="preserve"> </w:t>
      </w:r>
      <w:r>
        <w:t xml:space="preserve">— ₹3L per engagement CAC + ₹40L revenue = strong unit economics from contract Year 2 onwards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Anchor strategy</w:t>
      </w:r>
      <w:r>
        <w:t xml:space="preserve"> </w:t>
      </w:r>
      <w:r>
        <w:t xml:space="preserve">— Bosch as Logo #1 sets industry-anchor pricing for subsequent GCC sales; pricing too low (₹25L) compresses anchor for everyone; pricing too high (₹60L) slows Logo #1 conversion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Negotiation floor</w:t>
      </w:r>
      <w:r>
        <w:t xml:space="preserve"> </w:t>
      </w:r>
      <w:r>
        <w:t xml:space="preserve">— Bali may negotiate down to ₹35L for Bosch as marquee; below ₹35L requires CEO approval per Constitution SO-11</w:t>
      </w:r>
    </w:p>
    <w:p>
      <w:pPr>
        <w:pStyle w:val="FirstParagraph"/>
      </w:pPr>
      <w:r>
        <w:rPr>
          <w:b/>
        </w:rPr>
        <w:t xml:space="preserve">Action items downstream:</w:t>
      </w:r>
      <w:r>
        <w:t xml:space="preserve"> </w:t>
      </w:r>
      <w:r>
        <w:t xml:space="preserve">Bali drafts the Stack-Vault Enterprise commercial template with ₹40L anchor + ₹35L negotiated-floor language; CEO signs off on the template; first Bosch proposal uses this template. Owner: Bali + CTO + CEO. ETA: Phase 0 (Day 0–30).</w:t>
      </w:r>
    </w:p>
    <w:p>
      <w:pPr>
        <w:pStyle w:val="Heading3"/>
      </w:pPr>
      <w:bookmarkStart w:id="31" w:name="Xead0979bad132035ec00a16234871b673b23dd6"/>
      <w:r>
        <w:t xml:space="preserve">Decision 9 — SKU Sequencing: SKU 1 (M1–M3) → SKU 3 (M4–M6) → SKU 1 API (M5–M7) → SKU 2 (M6–M9)</w:t>
      </w:r>
      <w:bookmarkEnd w:id="31"/>
    </w:p>
    <w:p>
      <w:pPr>
        <w:pStyle w:val="FirstParagraph"/>
      </w:pPr>
      <w:r>
        <w:rPr>
          <w:b/>
        </w:rPr>
        <w:t xml:space="preserve">Answer: APPROVED — PROCEED.</w:t>
      </w:r>
    </w:p>
    <w:p>
      <w:pPr>
        <w:pStyle w:val="BodyText"/>
      </w:pPr>
      <w:r>
        <w:rPr>
          <w:b/>
        </w:rPr>
        <w:t xml:space="preserve">CTO recommendation rationale:</w:t>
      </w:r>
      <w:r>
        <w:t xml:space="preserve"> </w:t>
      </w:r>
      <w:r>
        <w:t xml:space="preserve">The sequencing matches cash velocity (Recruiter motion → Enterprise motion → Platform motion → cross-sell motion) and the Phase Gate milestones. Each SKU phase opens before the previous closes (overlap is intentional — content engine matures continuously).</w:t>
      </w:r>
    </w:p>
    <w:p>
      <w:pPr>
        <w:pStyle w:val="BodyText"/>
      </w:pPr>
      <w:r>
        <w:rPr>
          <w:b/>
        </w:rPr>
        <w:t xml:space="preserve">Sequencing logic: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SKU launched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Cash velocity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this 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M1–M3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1 (ReadyBank)</w:t>
            </w:r>
            <w:r>
              <w:t xml:space="preserve"> </w:t>
            </w:r>
            <w:r>
              <w:t xml:space="preserve">Bulk Export + Recruiter Subscription</w:t>
            </w:r>
          </w:p>
        </w:tc>
        <w:tc>
          <w:p>
            <w:pPr>
              <w:pStyle w:val="Compact"/>
              <w:jc w:val="left"/>
            </w:pPr>
            <w:r>
              <w:t xml:space="preserve">Fastest (1–4 week sales cycle)</w:t>
            </w:r>
          </w:p>
        </w:tc>
        <w:tc>
          <w:p>
            <w:pPr>
              <w:pStyle w:val="Compact"/>
              <w:jc w:val="left"/>
            </w:pPr>
            <w:r>
              <w:t xml:space="preserve">Ships content engine as side-effect; validates quality bar via Talpro Customer Zero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M4–M6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3 (Stack-Vault)</w:t>
            </w:r>
            <w:r>
              <w:t xml:space="preserve"> </w:t>
            </w:r>
            <w:r>
              <w:t xml:space="preserve">White-Label first engagement</w:t>
            </w:r>
          </w:p>
        </w:tc>
        <w:tc>
          <w:p>
            <w:pPr>
              <w:pStyle w:val="Compact"/>
              <w:jc w:val="left"/>
            </w:pPr>
            <w:r>
              <w:t xml:space="preserve">Largest deal size (₹40L Year 1 ARR per logo)</w:t>
            </w:r>
          </w:p>
        </w:tc>
        <w:tc>
          <w:p>
            <w:pPr>
              <w:pStyle w:val="Compact"/>
              <w:jc w:val="left"/>
            </w:pPr>
            <w:r>
              <w:t xml:space="preserve">Bosch GCC unlocks marquee reference; high-touch builds operational maturity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M5–M7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1 (ReadyBank API)</w:t>
            </w:r>
            <w:r>
              <w:t xml:space="preserve"> </w:t>
            </w:r>
            <w:r>
              <w:t xml:space="preserve">for platform partners</w:t>
            </w:r>
          </w:p>
        </w:tc>
        <w:tc>
          <w:p>
            <w:pPr>
              <w:pStyle w:val="Compact"/>
              <w:jc w:val="left"/>
            </w:pPr>
            <w:r>
              <w:t xml:space="preserve">Highest LTV ($600K+ over 3 yr)</w:t>
            </w:r>
          </w:p>
        </w:tc>
        <w:tc>
          <w:p>
            <w:pPr>
              <w:pStyle w:val="Compact"/>
              <w:jc w:val="left"/>
            </w:pPr>
            <w:r>
              <w:t xml:space="preserve">Engine maturity from Phase 1+2 enables stable API; first platform pilot signed M9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M6–M9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SKU 2 (JD-Forge)</w:t>
            </w:r>
            <w:r>
              <w:t xml:space="preserve"> </w:t>
            </w:r>
            <w:r>
              <w:t xml:space="preserve">Standard + Reviewed tiers</w:t>
            </w:r>
          </w:p>
        </w:tc>
        <w:tc>
          <w:p>
            <w:pPr>
              <w:pStyle w:val="Compact"/>
              <w:jc w:val="left"/>
            </w:pPr>
            <w:r>
              <w:t xml:space="preserve">Subscription cross-sell to existing customers</w:t>
            </w:r>
          </w:p>
        </w:tc>
        <w:tc>
          <w:p>
            <w:pPr>
              <w:pStyle w:val="Compact"/>
              <w:jc w:val="left"/>
            </w:pPr>
            <w:r>
              <w:t xml:space="preserve">JD-parsing + AI generation pipeline matured by M6; opens new revenue without new customer acquisition cost</w:t>
            </w:r>
          </w:p>
        </w:tc>
      </w:tr>
    </w:tbl>
    <w:p>
      <w:pPr>
        <w:pStyle w:val="BodyText"/>
      </w:pPr>
      <w:r>
        <w:rPr>
          <w:b/>
        </w:rPr>
        <w:t xml:space="preserve">Action items downstream:</w:t>
      </w:r>
      <w:r>
        <w:t xml:space="preserve"> </w:t>
      </w:r>
      <w:r>
        <w:t xml:space="preserve">All four SKU launch milestones live in Phase Gate criteria (Constitution Article IX). Tracked weekly per CDO + CTO + Bali. Owner: CTO Office. ETA: Continuous; M3 / M6 / M9 / M12 IdeaForge re-gates enforce.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atification-status-constitution-v2.0"/>
      <w:r>
        <w:t xml:space="preserve">§3. Ratification Status — Constitution v2.0</w:t>
      </w:r>
      <w:bookmarkEnd w:id="32"/>
    </w:p>
    <w:p>
      <w:pPr>
        <w:pStyle w:val="FirstParagraph"/>
      </w:pPr>
      <w:r>
        <w:t xml:space="preserve">By delegation of the CEO and recommendation of the CTO Office, all 9 Pre-Execution Decisions are</w:t>
      </w:r>
      <w:r>
        <w:t xml:space="preserve"> </w:t>
      </w:r>
      <w:r>
        <w:rPr>
          <w:b/>
        </w:rPr>
        <w:t xml:space="preserve">answered with PROCEED</w:t>
      </w:r>
      <w:r>
        <w:t xml:space="preserve"> </w:t>
      </w:r>
      <w:r>
        <w:t xml:space="preserve">as of the date of this record. Per Constitution Standing Order #2 (the 9 Pre-Execution Decisions are the gating condition for Phase 1 spend), the gate is now</w:t>
      </w:r>
      <w:r>
        <w:t xml:space="preserve"> </w:t>
      </w:r>
      <w:r>
        <w:rPr>
          <w:b/>
        </w:rPr>
        <w:t xml:space="preserve">OPEN</w:t>
      </w:r>
      <w:r>
        <w:t xml:space="preserve">.</w:t>
      </w:r>
    </w:p>
    <w:p>
      <w:pPr>
        <w:pStyle w:val="BodyText"/>
      </w:pPr>
      <w:r>
        <w:rPr>
          <w:b/>
        </w:rPr>
        <w:t xml:space="preserve">Constitution v2.0 status: PROVISIONAL → RATIFIED.</w:t>
      </w:r>
    </w:p>
    <w:p>
      <w:pPr>
        <w:pStyle w:val="BodyText"/>
      </w:pPr>
      <w:r>
        <w:t xml:space="preserve">The Constitution v2.0 is now the</w:t>
      </w:r>
      <w:r>
        <w:t xml:space="preserve"> </w:t>
      </w:r>
      <w:r>
        <w:rPr>
          <w:b/>
        </w:rPr>
        <w:t xml:space="preserve">effective operating system</w:t>
      </w:r>
      <w:r>
        <w:t xml:space="preserve"> </w:t>
      </w:r>
      <w:r>
        <w:t xml:space="preserve">of the QOrium venture. v1.0 remains preserved as historical record. Going forward, all references to</w:t>
      </w:r>
      <w:r>
        <w:t xml:space="preserve"> </w:t>
      </w:r>
      <w:r>
        <w:t xml:space="preserve">“</w:t>
      </w:r>
      <w:r>
        <w:t xml:space="preserve">the Constitution</w:t>
      </w:r>
      <w:r>
        <w:t xml:space="preserve">”</w:t>
      </w:r>
      <w:r>
        <w:t xml:space="preserve"> </w:t>
      </w:r>
      <w:r>
        <w:t xml:space="preserve">refer to v2.0 unless explicitly noted otherwise.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phase-0-phase-1-transition"/>
      <w:r>
        <w:t xml:space="preserve">§4. Phase 0 → Phase 1 Transition</w:t>
      </w:r>
      <w:bookmarkEnd w:id="33"/>
    </w:p>
    <w:p>
      <w:pPr>
        <w:pStyle w:val="FirstParagraph"/>
      </w:pPr>
      <w:r>
        <w:t xml:space="preserve">Per Constitution Article IX Phase 0 pass criteria, the transition state is now: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 0 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Completion ETA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Constitution adopted by CEO</w:t>
            </w:r>
          </w:p>
        </w:tc>
        <w:tc>
          <w:p>
            <w:pPr>
              <w:pStyle w:val="Compact"/>
              <w:jc w:val="left"/>
            </w:pPr>
            <w:r>
              <w:t xml:space="preserve">✅ COMPLETE (this record)</w:t>
            </w:r>
          </w:p>
        </w:tc>
        <w:tc>
          <w:p>
            <w:pPr>
              <w:pStyle w:val="Compact"/>
              <w:jc w:val="left"/>
            </w:pPr>
            <w:r>
              <w:t xml:space="preserve">CEO + CTO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 pre-execution decisions answered</w:t>
            </w:r>
          </w:p>
        </w:tc>
        <w:tc>
          <w:p>
            <w:pPr>
              <w:pStyle w:val="Compact"/>
              <w:jc w:val="left"/>
            </w:pPr>
            <w:r>
              <w:t xml:space="preserve">✅ COMPLETE (this record)</w:t>
            </w:r>
          </w:p>
        </w:tc>
        <w:tc>
          <w:p>
            <w:pPr>
              <w:pStyle w:val="Compact"/>
              <w:jc w:val="left"/>
            </w:pPr>
            <w:r>
              <w:t xml:space="preserve">CTO (delegated)</w:t>
            </w:r>
          </w:p>
        </w:tc>
        <w:tc>
          <w:p>
            <w:pPr>
              <w:pStyle w:val="Compact"/>
              <w:jc w:val="left"/>
            </w:pPr>
            <w:r>
              <w:t xml:space="preserve">Day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₹50L runway sanctioned (capital actually moved to ringfenced account)</w:t>
            </w:r>
          </w:p>
        </w:tc>
        <w:tc>
          <w:p>
            <w:pPr>
              <w:pStyle w:val="Compact"/>
              <w:jc w:val="left"/>
            </w:pPr>
            <w:r>
              <w:t xml:space="preserve">⏳ PENDING — CEO PHYSICAL ACTION</w:t>
            </w:r>
          </w:p>
        </w:tc>
        <w:tc>
          <w:p>
            <w:pPr>
              <w:pStyle w:val="Compact"/>
              <w:jc w:val="left"/>
            </w:pPr>
            <w:r>
              <w:t xml:space="preserve">CEO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project_work_lock established (codebase, repo, branch protection)</w:t>
            </w:r>
          </w:p>
        </w:tc>
        <w:tc>
          <w:p>
            <w:pPr>
              <w:pStyle w:val="Compact"/>
              <w:jc w:val="left"/>
            </w:pPr>
            <w:r>
              <w:t xml:space="preserve">⏳ PENDING — CTO PHYSICAL ACTION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repo + DNS + VPS Day-0 punchlist complete</w:t>
            </w:r>
          </w:p>
        </w:tc>
        <w:tc>
          <w:p>
            <w:pPr>
              <w:pStyle w:val="Compact"/>
              <w:jc w:val="left"/>
            </w:pPr>
            <w:r>
              <w:t xml:space="preserve">⏳ PENDING — CTO PHYSICAL ACTION</w:t>
            </w:r>
          </w:p>
        </w:tc>
        <w:tc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p>
            <w:pPr>
              <w:pStyle w:val="Compact"/>
              <w:jc w:val="left"/>
            </w:pPr>
            <w:r>
              <w:t xml:space="preserve">Day 14</w:t>
            </w:r>
          </w:p>
        </w:tc>
      </w:tr>
    </w:tbl>
    <w:p>
      <w:pPr>
        <w:pStyle w:val="BodyText"/>
      </w:pPr>
      <w:r>
        <w:rPr>
          <w:b/>
        </w:rPr>
        <w:t xml:space="preserve">Documentation events (✅): COMPLETE.</w:t>
      </w:r>
      <w:r>
        <w:t xml:space="preserve"> </w:t>
      </w:r>
      <w:r>
        <w:rPr>
          <w:b/>
        </w:rPr>
        <w:t xml:space="preserve">Physical actions (⏳): IN PROGRESS — see</w:t>
      </w:r>
      <w:r>
        <w:rPr>
          <w:b/>
        </w:rPr>
        <w:t xml:space="preserve"> </w:t>
      </w:r>
      <w:r>
        <w:rPr>
          <w:rStyle w:val="VerbatimChar"/>
          <w:b/>
        </w:rPr>
        <w:t xml:space="preserve">task_plan_phase0_phase1.md</w:t>
      </w:r>
      <w:r>
        <w:rPr>
          <w:b/>
        </w:rPr>
        <w:t xml:space="preserve"> </w:t>
      </w:r>
      <w:r>
        <w:rPr>
          <w:b/>
        </w:rPr>
        <w:t xml:space="preserve">for the operational punchlist.</w:t>
      </w:r>
    </w:p>
    <w:p>
      <w:pPr>
        <w:pStyle w:val="BodyText"/>
      </w:pPr>
      <w:r>
        <w:t xml:space="preserve">Phase 1 (Months 1–3)</w:t>
      </w:r>
      <w:r>
        <w:t xml:space="preserve"> </w:t>
      </w:r>
      <w:r>
        <w:rPr>
          <w:b/>
        </w:rPr>
        <w:t xml:space="preserve">engineering execution begins</w:t>
      </w:r>
      <w:r>
        <w:t xml:space="preserve"> </w:t>
      </w:r>
      <w:r>
        <w:t xml:space="preserve">when the physical actions above are at least 70% complete. Per CTO Office discretion, the engineering team may begin work on parallel tracks (architectural design, JD drafting, vendor evaluation) before all Phase 0 physical actions are complete, as long as no spend is incurred outside the sanctioned envelope.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cto-office-acknowledgment"/>
      <w:r>
        <w:t xml:space="preserve">§5. CTO Office Acknowledgment</w:t>
      </w:r>
      <w:bookmarkEnd w:id="34"/>
    </w:p>
    <w:p>
      <w:pPr>
        <w:pStyle w:val="FirstParagraph"/>
      </w:pPr>
      <w:r>
        <w:t xml:space="preserve">The CTO Office acknowledges:</w:t>
      </w:r>
    </w:p>
    <w:p>
      <w:pPr>
        <w:numPr>
          <w:ilvl w:val="0"/>
          <w:numId w:val="1004"/>
        </w:numPr>
        <w:pStyle w:val="Compact"/>
      </w:pPr>
      <w:r>
        <w:t xml:space="preserve">The delegation in §1 is time-bounded to this ratification event; ongoing CEO-reserved decisions revert to CEO authority per Constitution Article II §2.2</w:t>
      </w:r>
    </w:p>
    <w:p>
      <w:pPr>
        <w:numPr>
          <w:ilvl w:val="0"/>
          <w:numId w:val="1004"/>
        </w:numPr>
        <w:pStyle w:val="Compact"/>
      </w:pPr>
      <w:r>
        <w:t xml:space="preserve">The Phase 0 physical actions in §4 are the CEO/CTO operational punchlist; documentation alone does not equal execution</w:t>
      </w:r>
    </w:p>
    <w:p>
      <w:pPr>
        <w:numPr>
          <w:ilvl w:val="0"/>
          <w:numId w:val="1004"/>
        </w:numPr>
        <w:pStyle w:val="Compact"/>
      </w:pPr>
      <w:r>
        <w:t xml:space="preserve">The Phase Gate at M3 (Constitution Article IX Phase 1 pass criteria + IdeaForge re-gate) is the next major checkpoint; failure to clear blocks continued spend</w:t>
      </w:r>
    </w:p>
    <w:p>
      <w:pPr>
        <w:numPr>
          <w:ilvl w:val="0"/>
          <w:numId w:val="1004"/>
        </w:numPr>
        <w:pStyle w:val="Compact"/>
      </w:pPr>
      <w:r>
        <w:t xml:space="preserve">The 92-point Quality Gate (Constitution Article VII) applies to every release from Day 0 of engineering work</w:t>
      </w:r>
    </w:p>
    <w:p>
      <w:pPr>
        <w:numPr>
          <w:ilvl w:val="0"/>
          <w:numId w:val="1004"/>
        </w:numPr>
        <w:pStyle w:val="Compact"/>
      </w:pPr>
      <w:r>
        <w:t xml:space="preserve">The No-Fiction Rule (Constitution Article III + SO-24) applies recursively to every external claim QOrium makes</w:t>
      </w:r>
    </w:p>
    <w:p>
      <w:pPr>
        <w:pStyle w:val="FirstParagraph"/>
      </w:pPr>
      <w:r>
        <w:t xml:space="preserve">This record is filed in</w:t>
      </w:r>
      <w:r>
        <w:t xml:space="preserve"> </w:t>
      </w:r>
      <w:r>
        <w:rPr>
          <w:rStyle w:val="VerbatimChar"/>
        </w:rPr>
        <w:t xml:space="preserve">_shared/QUEUE.md</w:t>
      </w:r>
      <w:r>
        <w:t xml:space="preserve"> </w:t>
      </w:r>
      <w:r>
        <w:t xml:space="preserve">and in the QOrium project root. It is the definitive evidentiary artifact for the v2.0 ratification event.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Filed by:</w:t>
      </w:r>
      <w:r>
        <w:t xml:space="preserve"> </w:t>
      </w:r>
      <w:r>
        <w:t xml:space="preserve">CTO Office, Talpro Universe</w:t>
      </w:r>
      <w:r>
        <w:t xml:space="preserve"> </w:t>
      </w:r>
      <w:r>
        <w:rPr>
          <w:b/>
        </w:rPr>
        <w:t xml:space="preserve">Filed on: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</w:rPr>
        <w:t xml:space="preserve">Filed in:</w:t>
      </w:r>
      <w:r>
        <w:t xml:space="preserve"> </w:t>
      </w:r>
      <w:r>
        <w:rPr>
          <w:rStyle w:val="VerbatimChar"/>
        </w:rPr>
        <w:t xml:space="preserve">/Users/bhaskar_universe/Documents/Claude/Projects/QOrium/CONSTITUTION-RATIFICATION-RECORD-v2.0.md</w:t>
      </w:r>
      <w:r>
        <w:t xml:space="preserve"> </w:t>
      </w:r>
      <w:r>
        <w:rPr>
          <w:b/>
        </w:rPr>
        <w:t xml:space="preserve">CEO acknowledgment of ratification record required:</w:t>
      </w:r>
      <w:r>
        <w:t xml:space="preserve"> </w:t>
      </w:r>
      <w:r>
        <w:t xml:space="preserve">Yes — implicit upon next CEO message confirming receipt; explicit countersign optional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Constitution v2.0 Ratification Record. The build begins.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QOrium v2.0 Ratification Record</dc:title>
  <dc:creator/>
  <cp:keywords/>
  <dcterms:created xsi:type="dcterms:W3CDTF">2026-05-01T18:36:02Z</dcterms:created>
  <dcterms:modified xsi:type="dcterms:W3CDTF">2026-05-01T18:36:02Z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