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ffer-letter-full-time-employment"/>
      <w:r>
        <w:t xml:space="preserve">OFFER LETTER — FULL-TIME EMPLOYMENT</w:t>
      </w:r>
      <w:bookmarkEnd w:id="20"/>
    </w:p>
    <w:p>
      <w:pPr>
        <w:pStyle w:val="Heading2"/>
      </w:pPr>
      <w:bookmarkStart w:id="21" w:name="qorium-technology-private-limited"/>
      <w:r>
        <w:t xml:space="preserve">QOrium Technology Private Limited</w:t>
      </w:r>
      <w:bookmarkEnd w:id="21"/>
    </w:p>
    <w:p>
      <w:pPr>
        <w:pStyle w:val="Heading2"/>
      </w:pPr>
      <w:bookmarkStart w:id="22" w:name="cto-office-working-draft-v0.1"/>
      <w:r>
        <w:t xml:space="preserve">CTO-Office Working Draft v0.1</w:t>
      </w:r>
      <w:bookmarkEnd w:id="22"/>
    </w:p>
    <w:p>
      <w:pPr>
        <w:pStyle w:val="FirstParagraph"/>
      </w:pPr>
      <w:r>
        <w:rPr>
          <w:b/>
        </w:rPr>
        <w:t xml:space="preserve">STATUS: CTO-Office working draft v0.1.</w:t>
      </w:r>
      <w:r>
        <w:t xml:space="preserve"> </w:t>
      </w:r>
      <w:r>
        <w:t xml:space="preserve">This document is NOT a legal opinion. Final language must be set and signed by qualified Indian-bar employment counsel. CTO Office authored it so counsel begins from a populated outline rather than a blank page. Bracketed</w:t>
      </w:r>
      <w:r>
        <w:t xml:space="preserve"> </w:t>
      </w:r>
      <w:r>
        <w:rPr>
          <w:rStyle w:val="VerbatimChar"/>
        </w:rPr>
        <w:t xml:space="preserve">[…]</w:t>
      </w:r>
      <w:r>
        <w:t xml:space="preserve"> </w:t>
      </w:r>
      <w:r>
        <w:t xml:space="preserve">markers indicate counsel-decisions or company-specific values. Ratification by CEO + Counsel required before any third-party use.</w:t>
      </w:r>
    </w:p>
    <w:p>
      <w:r>
        <w:pict>
          <v:rect style="width:0;height:1.5pt" o:hralign="center" o:hrstd="t" o:hr="t"/>
        </w:pict>
      </w:r>
    </w:p>
    <w:p>
      <w:pPr>
        <w:pStyle w:val="Heading2"/>
      </w:pPr>
      <w:bookmarkStart w:id="23" w:name="letterhead"/>
      <w:r>
        <w:t xml:space="preserve">LETTERHEAD</w:t>
      </w:r>
      <w:bookmarkEnd w:id="23"/>
    </w:p>
    <w:p>
      <w:pPr>
        <w:pStyle w:val="FirstParagraph"/>
      </w:pPr>
      <w:r>
        <w:rPr>
          <w:b/>
        </w:rPr>
        <w:t xml:space="preserve">QOrium Technology Private Limited</w:t>
      </w:r>
      <w:r>
        <w:br/>
      </w:r>
      <w:r>
        <w:rPr>
          <w:rStyle w:val="VerbatimChar"/>
        </w:rPr>
        <w:t xml:space="preserve">[Registered Address]</w:t>
      </w:r>
      <w:r>
        <w:br/>
      </w:r>
      <w:r>
        <w:t xml:space="preserve">Bengaluru, India</w:t>
      </w:r>
      <w:r>
        <w:br/>
      </w:r>
      <w:r>
        <w:t xml:space="preserve">CIN:</w:t>
      </w:r>
      <w:r>
        <w:t xml:space="preserve"> </w:t>
      </w:r>
      <w:r>
        <w:rPr>
          <w:rStyle w:val="VerbatimChar"/>
        </w:rPr>
        <w:t xml:space="preserve">[Company Registration Number]</w:t>
      </w:r>
      <w:r>
        <w:br/>
      </w:r>
      <w:r>
        <w:t xml:space="preserve">GST ID:</w:t>
      </w:r>
      <w:r>
        <w:t xml:space="preserve"> </w:t>
      </w:r>
      <w:r>
        <w:rPr>
          <w:rStyle w:val="VerbatimChar"/>
        </w:rPr>
        <w:t xml:space="preserve">[GST Identification Number]</w:t>
      </w:r>
    </w:p>
    <w:p>
      <w:pPr>
        <w:pStyle w:val="BodyText"/>
      </w:pPr>
      <w:r>
        <w:t xml:space="preserve">Tel:</w:t>
      </w:r>
      <w:r>
        <w:t xml:space="preserve"> </w:t>
      </w:r>
      <w:r>
        <w:rPr>
          <w:rStyle w:val="VerbatimChar"/>
        </w:rPr>
        <w:t xml:space="preserve">[Phone]</w:t>
      </w:r>
      <w:r>
        <w:t xml:space="preserve"> </w:t>
      </w:r>
      <w:r>
        <w:t xml:space="preserve">| Email:</w:t>
      </w:r>
      <w:r>
        <w:t xml:space="preserve"> </w:t>
      </w:r>
      <w:r>
        <w:rPr>
          <w:rStyle w:val="VerbatimChar"/>
        </w:rPr>
        <w:t xml:space="preserve">[Corporate Email]</w:t>
      </w:r>
      <w:r>
        <w:t xml:space="preserve"> </w:t>
      </w:r>
      <w:r>
        <w:t xml:space="preserve">| Website:</w:t>
      </w:r>
      <w:r>
        <w:t xml:space="preserve"> </w:t>
      </w:r>
      <w:r>
        <w:rPr>
          <w:rStyle w:val="VerbatimChar"/>
        </w:rPr>
        <w:t xml:space="preserve">[Website URL]</w:t>
      </w:r>
    </w:p>
    <w:p>
      <w:r>
        <w:pict>
          <v:rect style="width:0;height:1.5pt" o:hralign="center" o:hrstd="t" o:hr="t"/>
        </w:pict>
      </w:r>
    </w:p>
    <w:p>
      <w:pPr>
        <w:pStyle w:val="Heading2"/>
      </w:pPr>
      <w:bookmarkStart w:id="24" w:name="offer-letter"/>
      <w:r>
        <w:t xml:space="preserve">OFFER LETTER</w:t>
      </w:r>
      <w:bookmarkEnd w:id="24"/>
    </w:p>
    <w:p>
      <w:pPr>
        <w:pStyle w:val="FirstParagraph"/>
      </w:pPr>
      <w:r>
        <w:rPr>
          <w:b/>
        </w:rPr>
        <w:t xml:space="preserve">Date:</w:t>
      </w:r>
      <w:r>
        <w:t xml:space="preserve"> </w:t>
      </w:r>
      <w:r>
        <w:rPr>
          <w:rStyle w:val="VerbatimChar"/>
        </w:rPr>
        <w:t xml:space="preserve">[DD MMM YYYY]</w:t>
      </w:r>
    </w:p>
    <w:p>
      <w:pPr>
        <w:pStyle w:val="BodyText"/>
      </w:pPr>
      <w:r>
        <w:rPr>
          <w:b/>
        </w:rPr>
        <w:t xml:space="preserve">TO:</w:t>
      </w:r>
      <w:r>
        <w:t xml:space="preserve"> </w:t>
      </w:r>
      <w:r>
        <w:rPr>
          <w:rStyle w:val="VerbatimChar"/>
        </w:rPr>
        <w:t xml:space="preserve">[CANDIDATE FULL NAME]</w:t>
      </w:r>
      <w:r>
        <w:br/>
      </w:r>
      <w:r>
        <w:rPr>
          <w:rStyle w:val="VerbatimChar"/>
        </w:rPr>
        <w:t xml:space="preserve">[Candidate Residential Address]</w:t>
      </w:r>
      <w:r>
        <w:br/>
      </w:r>
      <w:r>
        <w:rPr>
          <w:rStyle w:val="VerbatimChar"/>
        </w:rPr>
        <w:t xml:space="preserve">[City, Postal Code]</w:t>
      </w:r>
      <w:r>
        <w:br/>
      </w:r>
      <w:r>
        <w:rPr>
          <w:b/>
        </w:rPr>
        <w:t xml:space="preserve">Email:</w:t>
      </w:r>
      <w:r>
        <w:t xml:space="preserve"> </w:t>
      </w:r>
      <w:r>
        <w:rPr>
          <w:rStyle w:val="VerbatimChar"/>
        </w:rPr>
        <w:t xml:space="preserve">[Candidate Email]</w:t>
      </w:r>
      <w:r>
        <w:br/>
      </w:r>
      <w:r>
        <w:rPr>
          <w:b/>
        </w:rPr>
        <w:t xml:space="preserve">Contact:</w:t>
      </w:r>
      <w:r>
        <w:t xml:space="preserve"> </w:t>
      </w:r>
      <w:r>
        <w:rPr>
          <w:rStyle w:val="VerbatimChar"/>
        </w:rPr>
        <w:t xml:space="preserve">[Candidate Mobile]</w:t>
      </w:r>
    </w:p>
    <w:p>
      <w:r>
        <w:pict>
          <v:rect style="width:0;height:1.5pt" o:hralign="center" o:hrstd="t" o:hr="t"/>
        </w:pict>
      </w:r>
    </w:p>
    <w:p>
      <w:pPr>
        <w:pStyle w:val="Heading2"/>
      </w:pPr>
      <w:bookmarkStart w:id="25" w:name="Xbf9394ab19bc5f41792b6e814b9909eae6c5776"/>
      <w:r>
        <w:t xml:space="preserve">SUBJECT: OFFER OF EMPLOYMENT — FULL-TIME POSITION</w:t>
      </w:r>
      <w:bookmarkEnd w:id="25"/>
    </w:p>
    <w:p>
      <w:pPr>
        <w:pStyle w:val="FirstParagraph"/>
      </w:pPr>
      <w:r>
        <w:t xml:space="preserve">Dear</w:t>
      </w:r>
      <w:r>
        <w:t xml:space="preserve"> </w:t>
      </w:r>
      <w:r>
        <w:rPr>
          <w:rStyle w:val="VerbatimChar"/>
        </w:rPr>
        <w:t xml:space="preserve">[Candidate Name]</w:t>
      </w:r>
      <w:r>
        <w:t xml:space="preserve">,</w:t>
      </w:r>
    </w:p>
    <w:p>
      <w:pPr>
        <w:pStyle w:val="BodyText"/>
      </w:pPr>
      <w:r>
        <w:t xml:space="preserve">QOrium Technology Private Limited (</w:t>
      </w:r>
      <w:r>
        <w:t xml:space="preserve">“</w:t>
      </w:r>
      <w:r>
        <w:rPr>
          <w:b/>
        </w:rPr>
        <w:t xml:space="preserve">Company</w:t>
      </w:r>
      <w:r>
        <w:t xml:space="preserve">”</w:t>
      </w:r>
      <w:r>
        <w:t xml:space="preserve">) is pleased to extend a formal offer of employment to you under the terms and conditions outlined below.</w:t>
      </w:r>
    </w:p>
    <w:p>
      <w:r>
        <w:pict>
          <v:rect style="width:0;height:1.5pt" o:hralign="center" o:hrstd="t" o:hr="t"/>
        </w:pict>
      </w:r>
    </w:p>
    <w:p>
      <w:pPr>
        <w:pStyle w:val="Heading2"/>
      </w:pPr>
      <w:bookmarkStart w:id="26" w:name="position-reporting-line"/>
      <w:r>
        <w:t xml:space="preserve">1. POSITION &amp; REPORTING LINE</w:t>
      </w:r>
      <w:bookmarkEnd w:id="26"/>
    </w:p>
    <w:p>
      <w:pPr>
        <w:pStyle w:val="FirstParagraph"/>
      </w:pPr>
      <w:r>
        <w:rPr>
          <w:b/>
        </w:rPr>
        <w:t xml:space="preserve">Position:</w:t>
      </w:r>
      <w:r>
        <w:t xml:space="preserve"> </w:t>
      </w:r>
      <w:r>
        <w:rPr>
          <w:rStyle w:val="VerbatimChar"/>
        </w:rPr>
        <w:t xml:space="preserve">[Job Title]</w:t>
      </w:r>
      <w:r>
        <w:t xml:space="preserve"> </w:t>
      </w:r>
      <w:r>
        <w:t xml:space="preserve">(e.g., Senior Engineer — Content Engine, Relationship Manager — Enterprise)</w:t>
      </w:r>
    </w:p>
    <w:p>
      <w:pPr>
        <w:pStyle w:val="BodyText"/>
      </w:pPr>
      <w:r>
        <w:rPr>
          <w:b/>
        </w:rPr>
        <w:t xml:space="preserve">Department:</w:t>
      </w:r>
      <w:r>
        <w:t xml:space="preserve"> </w:t>
      </w:r>
      <w:r>
        <w:rPr>
          <w:rStyle w:val="VerbatimChar"/>
        </w:rPr>
        <w:t xml:space="preserve">[Department Name]</w:t>
      </w:r>
      <w:r>
        <w:t xml:space="preserve"> </w:t>
      </w:r>
      <w:r>
        <w:t xml:space="preserve">(e.g., Engineering, Sales)</w:t>
      </w:r>
    </w:p>
    <w:p>
      <w:pPr>
        <w:pStyle w:val="BodyText"/>
      </w:pPr>
      <w:r>
        <w:rPr>
          <w:b/>
        </w:rPr>
        <w:t xml:space="preserve">Reporting to:</w:t>
      </w:r>
      <w:r>
        <w:t xml:space="preserve"> </w:t>
      </w:r>
      <w:r>
        <w:rPr>
          <w:rStyle w:val="VerbatimChar"/>
        </w:rPr>
        <w:t xml:space="preserve">[Reporting Manager Name]</w:t>
      </w:r>
      <w:r>
        <w:t xml:space="preserve">,</w:t>
      </w:r>
      <w:r>
        <w:t xml:space="preserve"> </w:t>
      </w:r>
      <w:r>
        <w:rPr>
          <w:rStyle w:val="VerbatimChar"/>
        </w:rPr>
        <w:t xml:space="preserve">[Manager Title]</w:t>
      </w:r>
    </w:p>
    <w:p>
      <w:pPr>
        <w:pStyle w:val="BodyText"/>
      </w:pPr>
      <w:r>
        <w:rPr>
          <w:b/>
        </w:rPr>
        <w:t xml:space="preserve">Location:</w:t>
      </w:r>
      <w:r>
        <w:t xml:space="preserve"> </w:t>
      </w:r>
      <w:r>
        <w:rPr>
          <w:rStyle w:val="VerbatimChar"/>
        </w:rPr>
        <w:t xml:space="preserve">[City/Office Address]</w:t>
      </w:r>
      <w:r>
        <w:t xml:space="preserve">, with flexibility for remote work as permitted by management (subject to annual review and company needs).</w:t>
      </w:r>
    </w:p>
    <w:p>
      <w:pPr>
        <w:pStyle w:val="BodyText"/>
      </w:pPr>
      <w:r>
        <w:rPr>
          <w:b/>
        </w:rPr>
        <w:t xml:space="preserve">Employment Type:</w:t>
      </w:r>
      <w:r>
        <w:t xml:space="preserve"> </w:t>
      </w:r>
      <w:r>
        <w:t xml:space="preserve">Full-time, permanent position (subject to satisfactory completion of probation as described in Section 4).</w:t>
      </w:r>
    </w:p>
    <w:p>
      <w:r>
        <w:pict>
          <v:rect style="width:0;height:1.5pt" o:hralign="center" o:hrstd="t" o:hr="t"/>
        </w:pict>
      </w:r>
    </w:p>
    <w:p>
      <w:pPr>
        <w:pStyle w:val="Heading2"/>
      </w:pPr>
      <w:bookmarkStart w:id="27" w:name="compensation-structure"/>
      <w:r>
        <w:t xml:space="preserve">2. COMPENSATION STRUCTURE</w:t>
      </w:r>
      <w:bookmarkEnd w:id="27"/>
    </w:p>
    <w:p>
      <w:pPr>
        <w:pStyle w:val="Heading3"/>
      </w:pPr>
      <w:bookmarkStart w:id="28" w:name="cost-to-company-ctc-package"/>
      <w:r>
        <w:t xml:space="preserve">2.1 Cost to Company (CTC) Package</w:t>
      </w:r>
      <w:bookmarkEnd w:id="28"/>
    </w:p>
    <w:p>
      <w:pPr>
        <w:pStyle w:val="FirstParagraph"/>
      </w:pPr>
      <w:r>
        <w:t xml:space="preserve">Your annual</w:t>
      </w:r>
      <w:r>
        <w:t xml:space="preserve"> </w:t>
      </w:r>
      <w:r>
        <w:rPr>
          <w:b/>
        </w:rPr>
        <w:t xml:space="preserve">Cost to Company (CTC)</w:t>
      </w:r>
      <w:r>
        <w:t xml:space="preserve"> </w:t>
      </w:r>
      <w:r>
        <w:t xml:space="preserve">is</w:t>
      </w:r>
      <w:r>
        <w:t xml:space="preserve"> </w:t>
      </w:r>
      <w:r>
        <w:rPr>
          <w:b/>
        </w:rPr>
        <w:t xml:space="preserve">₹</w:t>
      </w:r>
      <w:r>
        <w:rPr>
          <w:rStyle w:val="VerbatimChar"/>
          <w:b/>
        </w:rPr>
        <w:t xml:space="preserve">[Annual CTC Amount]</w:t>
      </w:r>
      <w:r>
        <w:t xml:space="preserve"> </w:t>
      </w:r>
      <w:r>
        <w:t xml:space="preserve">(Rupees</w:t>
      </w:r>
      <w:r>
        <w:t xml:space="preserve"> </w:t>
      </w:r>
      <w:r>
        <w:rPr>
          <w:rStyle w:val="VerbatimChar"/>
        </w:rPr>
        <w:t xml:space="preserve">[Amount in Words]</w:t>
      </w:r>
      <w:r>
        <w:t xml:space="preserve">), paid monthly, and is structured as follows: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Monthly</w:t>
            </w:r>
          </w:p>
        </w:tc>
        <w:tc>
          <w:tcPr>
            <w:tcBorders>
              <w:bottom w:val="single"/>
            </w:tcBorders>
            <w:vAlign w:val="bottom"/>
          </w:tcPr>
          <w:p>
            <w:pPr>
              <w:pStyle w:val="Compact"/>
              <w:jc w:val="left"/>
            </w:pPr>
            <w:r>
              <w:t xml:space="preserve">Annual</w:t>
            </w:r>
          </w:p>
        </w:tc>
        <w:tc>
          <w:tcPr>
            <w:tcBorders>
              <w:bottom w:val="single"/>
            </w:tcBorders>
            <w:vAlign w:val="bottom"/>
          </w:tcPr>
          <w:p>
            <w:pPr>
              <w:pStyle w:val="Compact"/>
              <w:jc w:val="left"/>
            </w:pPr>
            <w:r>
              <w:t xml:space="preserve">Notes</w:t>
            </w:r>
          </w:p>
        </w:tc>
      </w:tr>
      <w:tr>
        <w:tc>
          <w:p>
            <w:pPr>
              <w:pStyle w:val="Compact"/>
              <w:jc w:val="left"/>
            </w:pPr>
            <w:r>
              <w:rPr>
                <w:b/>
              </w:rPr>
              <w:t xml:space="preserve">Base Salary</w:t>
            </w:r>
          </w:p>
        </w:tc>
        <w:tc>
          <w:p>
            <w:pPr>
              <w:pStyle w:val="Compact"/>
              <w:jc w:val="left"/>
            </w:pPr>
            <w:r>
              <w:t xml:space="preserve">₹</w:t>
            </w:r>
            <w:r>
              <w:rPr>
                <w:rStyle w:val="VerbatimChar"/>
              </w:rPr>
              <w:t xml:space="preserve">[Base/12]</w:t>
            </w:r>
          </w:p>
        </w:tc>
        <w:tc>
          <w:p>
            <w:pPr>
              <w:pStyle w:val="Compact"/>
              <w:jc w:val="left"/>
            </w:pPr>
            <w:r>
              <w:t xml:space="preserve">₹</w:t>
            </w:r>
            <w:r>
              <w:rPr>
                <w:rStyle w:val="VerbatimChar"/>
              </w:rPr>
              <w:t xml:space="preserve">[Base]</w:t>
            </w:r>
          </w:p>
        </w:tc>
        <w:tc>
          <w:p>
            <w:pPr>
              <w:pStyle w:val="Compact"/>
              <w:jc w:val="left"/>
            </w:pPr>
            <w:r>
              <w:t xml:space="preserve">Fixed; paid on 25th of each month</w:t>
            </w:r>
          </w:p>
        </w:tc>
      </w:tr>
      <w:tr>
        <w:tc>
          <w:p>
            <w:pPr>
              <w:pStyle w:val="Compact"/>
              <w:jc w:val="left"/>
            </w:pPr>
            <w:r>
              <w:rPr>
                <w:b/>
              </w:rPr>
              <w:t xml:space="preserve">House Rent Allowance (HRA)</w:t>
            </w:r>
          </w:p>
        </w:tc>
        <w:tc>
          <w:p>
            <w:pPr>
              <w:pStyle w:val="Compact"/>
              <w:jc w:val="left"/>
            </w:pPr>
            <w:r>
              <w:t xml:space="preserve">₹</w:t>
            </w:r>
            <w:r>
              <w:rPr>
                <w:rStyle w:val="VerbatimChar"/>
              </w:rPr>
              <w:t xml:space="preserve">[HRA/12]</w:t>
            </w:r>
          </w:p>
        </w:tc>
        <w:tc>
          <w:p>
            <w:pPr>
              <w:pStyle w:val="Compact"/>
              <w:jc w:val="left"/>
            </w:pPr>
            <w:r>
              <w:t xml:space="preserve">₹</w:t>
            </w:r>
            <w:r>
              <w:rPr>
                <w:rStyle w:val="VerbatimChar"/>
              </w:rPr>
              <w:t xml:space="preserve">[HRA]</w:t>
            </w:r>
          </w:p>
        </w:tc>
        <w:tc>
          <w:p>
            <w:pPr>
              <w:pStyle w:val="Compact"/>
              <w:jc w:val="left"/>
            </w:pPr>
            <w:r>
              <w:t xml:space="preserve">As per residential address; eligible for tax deduction</w:t>
            </w:r>
          </w:p>
        </w:tc>
      </w:tr>
      <w:tr>
        <w:tc>
          <w:p>
            <w:pPr>
              <w:pStyle w:val="Compact"/>
              <w:jc w:val="left"/>
            </w:pPr>
            <w:r>
              <w:rPr>
                <w:b/>
              </w:rPr>
              <w:t xml:space="preserve">Special Allowance</w:t>
            </w:r>
          </w:p>
        </w:tc>
        <w:tc>
          <w:p>
            <w:pPr>
              <w:pStyle w:val="Compact"/>
              <w:jc w:val="left"/>
            </w:pPr>
            <w:r>
              <w:t xml:space="preserve">₹</w:t>
            </w:r>
            <w:r>
              <w:rPr>
                <w:rStyle w:val="VerbatimChar"/>
              </w:rPr>
              <w:t xml:space="preserve">[Allowance/12]</w:t>
            </w:r>
          </w:p>
        </w:tc>
        <w:tc>
          <w:p>
            <w:pPr>
              <w:pStyle w:val="Compact"/>
              <w:jc w:val="left"/>
            </w:pPr>
            <w:r>
              <w:t xml:space="preserve">₹</w:t>
            </w:r>
            <w:r>
              <w:rPr>
                <w:rStyle w:val="VerbatimChar"/>
              </w:rPr>
              <w:t xml:space="preserve">[Allowance]</w:t>
            </w:r>
          </w:p>
        </w:tc>
        <w:tc>
          <w:p>
            <w:pPr>
              <w:pStyle w:val="Compact"/>
              <w:jc w:val="left"/>
            </w:pPr>
            <w:r>
              <w:t xml:space="preserve">Flexible; covers telephone, internet, etc.</w:t>
            </w:r>
          </w:p>
        </w:tc>
      </w:tr>
      <w:tr>
        <w:tc>
          <w:p>
            <w:pPr>
              <w:pStyle w:val="Compact"/>
              <w:jc w:val="left"/>
            </w:pPr>
            <w:r>
              <w:rPr>
                <w:b/>
              </w:rPr>
              <w:t xml:space="preserve">Leave Travel Allowance (LTA)</w:t>
            </w:r>
          </w:p>
        </w:tc>
        <w:tc>
          <w:p>
            <w:pPr>
              <w:pStyle w:val="Compact"/>
              <w:jc w:val="left"/>
            </w:pPr>
            <w:r>
              <w:t xml:space="preserve">₹</w:t>
            </w:r>
            <w:r>
              <w:rPr>
                <w:rStyle w:val="VerbatimChar"/>
              </w:rPr>
              <w:t xml:space="preserve">[LTA/12]</w:t>
            </w:r>
          </w:p>
        </w:tc>
        <w:tc>
          <w:p>
            <w:pPr>
              <w:pStyle w:val="Compact"/>
              <w:jc w:val="left"/>
            </w:pPr>
            <w:r>
              <w:t xml:space="preserve">₹</w:t>
            </w:r>
            <w:r>
              <w:rPr>
                <w:rStyle w:val="VerbatimChar"/>
              </w:rPr>
              <w:t xml:space="preserve">[LTA]</w:t>
            </w:r>
          </w:p>
        </w:tc>
        <w:tc>
          <w:p>
            <w:pPr>
              <w:pStyle w:val="Compact"/>
              <w:jc w:val="left"/>
            </w:pPr>
            <w:r>
              <w:t xml:space="preserve">Earned annually; unused balance lapses</w:t>
            </w:r>
          </w:p>
        </w:tc>
      </w:tr>
      <w:tr>
        <w:tc>
          <w:p>
            <w:pPr>
              <w:pStyle w:val="Compact"/>
              <w:jc w:val="left"/>
            </w:pPr>
            <w:r>
              <w:rPr>
                <w:b/>
              </w:rPr>
              <w:t xml:space="preserve">Employer Contribution to PF</w:t>
            </w:r>
          </w:p>
        </w:tc>
        <w:tc>
          <w:p>
            <w:pPr>
              <w:pStyle w:val="Compact"/>
              <w:jc w:val="left"/>
            </w:pPr>
            <w:r>
              <w:t xml:space="preserve">₹</w:t>
            </w:r>
            <w:r>
              <w:rPr>
                <w:rStyle w:val="VerbatimChar"/>
              </w:rPr>
              <w:t xml:space="preserve">[PF/12]</w:t>
            </w:r>
          </w:p>
        </w:tc>
        <w:tc>
          <w:p>
            <w:pPr>
              <w:pStyle w:val="Compact"/>
              <w:jc w:val="left"/>
            </w:pPr>
            <w:r>
              <w:t xml:space="preserve">₹</w:t>
            </w:r>
            <w:r>
              <w:rPr>
                <w:rStyle w:val="VerbatimChar"/>
              </w:rPr>
              <w:t xml:space="preserve">[PF]</w:t>
            </w:r>
          </w:p>
        </w:tc>
        <w:tc>
          <w:p>
            <w:pPr>
              <w:pStyle w:val="Compact"/>
              <w:jc w:val="left"/>
            </w:pPr>
            <w:r>
              <w:t xml:space="preserve">13% of basic or per Employees’ Provident Funds Act</w:t>
            </w:r>
          </w:p>
        </w:tc>
      </w:tr>
      <w:tr>
        <w:tc>
          <w:p>
            <w:pPr>
              <w:pStyle w:val="Compact"/>
              <w:jc w:val="left"/>
            </w:pPr>
            <w:r>
              <w:rPr>
                <w:b/>
              </w:rPr>
              <w:t xml:space="preserve">Statutory Bonus</w:t>
            </w:r>
          </w:p>
        </w:tc>
        <w:tc>
          <w:p>
            <w:pPr>
              <w:pStyle w:val="Compact"/>
              <w:jc w:val="left"/>
            </w:pPr>
            <w:r>
              <w:t xml:space="preserve">₹</w:t>
            </w:r>
            <w:r>
              <w:rPr>
                <w:rStyle w:val="VerbatimChar"/>
              </w:rPr>
              <w:t xml:space="preserve">[Bonus/12]</w:t>
            </w:r>
          </w:p>
        </w:tc>
        <w:tc>
          <w:p>
            <w:pPr>
              <w:pStyle w:val="Compact"/>
              <w:jc w:val="left"/>
            </w:pPr>
            <w:r>
              <w:t xml:space="preserve">₹</w:t>
            </w:r>
            <w:r>
              <w:rPr>
                <w:rStyle w:val="VerbatimChar"/>
              </w:rPr>
              <w:t xml:space="preserve">[Bonus]</w:t>
            </w:r>
          </w:p>
        </w:tc>
        <w:tc>
          <w:p>
            <w:pPr>
              <w:pStyle w:val="Compact"/>
              <w:jc w:val="left"/>
            </w:pPr>
            <w:r>
              <w:t xml:space="preserve">Per Payment of Bonus Act 1965; paid post year-end</w:t>
            </w:r>
          </w:p>
        </w:tc>
      </w:tr>
      <w:tr>
        <w:tc>
          <w:p>
            <w:pPr>
              <w:pStyle w:val="Compact"/>
              <w:jc w:val="left"/>
            </w:pPr>
            <w:r>
              <w:rPr>
                <w:b/>
              </w:rPr>
              <w:t xml:space="preserve">ESOP / Equity Grant</w:t>
            </w:r>
          </w:p>
        </w:tc>
        <w:tc>
          <w:p>
            <w:pPr>
              <w:pStyle w:val="Compact"/>
              <w:jc w:val="left"/>
            </w:pPr>
            <w:r>
              <w:t xml:space="preserve">—</w:t>
            </w:r>
          </w:p>
        </w:tc>
        <w:tc>
          <w:p>
            <w:pPr>
              <w:pStyle w:val="Compact"/>
              <w:jc w:val="left"/>
            </w:pPr>
            <w:r>
              <w:t xml:space="preserve">₹</w:t>
            </w:r>
            <w:r>
              <w:rPr>
                <w:rStyle w:val="VerbatimChar"/>
              </w:rPr>
              <w:t xml:space="preserve">[ESOP Value]</w:t>
            </w:r>
          </w:p>
        </w:tc>
        <w:tc>
          <w:p>
            <w:pPr>
              <w:pStyle w:val="Compact"/>
              <w:jc w:val="left"/>
            </w:pPr>
            <w:r>
              <w:t xml:space="preserve">Vesting schedule per Section 2.3; non-cash</w:t>
            </w:r>
          </w:p>
        </w:tc>
      </w:tr>
      <w:tr>
        <w:tc>
          <w:p>
            <w:pPr>
              <w:pStyle w:val="Compact"/>
              <w:jc w:val="left"/>
            </w:pPr>
            <w:r>
              <w:rPr>
                <w:b/>
              </w:rPr>
              <w:t xml:space="preserve">TOTAL CTC</w:t>
            </w:r>
          </w:p>
        </w:tc>
        <w:tc>
          <w:p>
            <w:pPr>
              <w:pStyle w:val="Compact"/>
              <w:jc w:val="left"/>
            </w:pPr>
            <w:r>
              <w:rPr>
                <w:b/>
              </w:rPr>
              <w:t xml:space="preserve">₹</w:t>
            </w:r>
            <w:r>
              <w:rPr>
                <w:rStyle w:val="VerbatimChar"/>
                <w:b/>
              </w:rPr>
              <w:t xml:space="preserve">[CTC/12]</w:t>
            </w:r>
          </w:p>
        </w:tc>
        <w:tc>
          <w:p>
            <w:pPr>
              <w:pStyle w:val="Compact"/>
              <w:jc w:val="left"/>
            </w:pPr>
            <w:r>
              <w:rPr>
                <w:b/>
              </w:rPr>
              <w:t xml:space="preserve">₹</w:t>
            </w:r>
            <w:r>
              <w:rPr>
                <w:rStyle w:val="VerbatimChar"/>
                <w:b/>
              </w:rPr>
              <w:t xml:space="preserve">[CTC]</w:t>
            </w:r>
          </w:p>
        </w:tc>
        <w:tc>
          <w:p>
            <w:pPr>
              <w:pStyle w:val="Compact"/>
              <w:jc w:val="left"/>
            </w:pPr>
            <w:r>
              <w:t xml:space="preserve">—</w:t>
            </w:r>
          </w:p>
        </w:tc>
      </w:tr>
    </w:tbl>
    <w:p>
      <w:pPr>
        <w:pStyle w:val="BodyText"/>
      </w:pPr>
      <w:r>
        <w:rPr>
          <w:b/>
        </w:rPr>
        <w:t xml:space="preserve">Remark:</w:t>
      </w:r>
      <w:r>
        <w:t xml:space="preserve"> </w:t>
      </w:r>
      <w:r>
        <w:t xml:space="preserve">CTC figures are gross, pre-tax. Your take-home salary will be lower after income tax withholding, PF employee contribution (12% of basic), and other statutory deductions. You will receive a detailed salary slip each month specifying gross, deductions, and net pay.</w:t>
      </w:r>
    </w:p>
    <w:p>
      <w:pPr>
        <w:pStyle w:val="Heading3"/>
      </w:pPr>
      <w:bookmarkStart w:id="29" w:name="variable-performance-bonus-if-applicable"/>
      <w:r>
        <w:t xml:space="preserve">2.2 Variable / Performance Bonus (if applicable)</w:t>
      </w:r>
      <w:bookmarkEnd w:id="29"/>
    </w:p>
    <w:p>
      <w:pPr>
        <w:pStyle w:val="FirstParagraph"/>
      </w:pPr>
      <w:r>
        <w:t xml:space="preserve">In addition to the above fixed CTC, you are eligible for a</w:t>
      </w:r>
      <w:r>
        <w:t xml:space="preserve"> </w:t>
      </w:r>
      <w:r>
        <w:rPr>
          <w:b/>
        </w:rPr>
        <w:t xml:space="preserve">Variable Performance Bonus</w:t>
      </w:r>
      <w:r>
        <w:t xml:space="preserve"> </w:t>
      </w:r>
      <w:r>
        <w:t xml:space="preserve">of up to</w:t>
      </w:r>
      <w:r>
        <w:t xml:space="preserve"> </w:t>
      </w:r>
      <w:r>
        <w:rPr>
          <w:rStyle w:val="VerbatimChar"/>
          <w:b/>
        </w:rPr>
        <w:t xml:space="preserve">[X]</w:t>
      </w:r>
      <w:r>
        <w:rPr>
          <w:b/>
        </w:rPr>
        <w:t xml:space="preserve">% of annual base salary</w:t>
      </w:r>
      <w:r>
        <w:t xml:space="preserve">, contingent on:</w:t>
      </w:r>
    </w:p>
    <w:p>
      <w:pPr>
        <w:numPr>
          <w:ilvl w:val="0"/>
          <w:numId w:val="1001"/>
        </w:numPr>
        <w:pStyle w:val="Compact"/>
      </w:pPr>
      <w:r>
        <w:t xml:space="preserve">Individual performance rating ≥ 3.0/5.0 at annual review</w:t>
      </w:r>
    </w:p>
    <w:p>
      <w:pPr>
        <w:numPr>
          <w:ilvl w:val="0"/>
          <w:numId w:val="1001"/>
        </w:numPr>
        <w:pStyle w:val="Compact"/>
      </w:pPr>
      <w:r>
        <w:t xml:space="preserve">Company achieving ≥90% of OKR targets for the fiscal year</w:t>
      </w:r>
    </w:p>
    <w:p>
      <w:pPr>
        <w:numPr>
          <w:ilvl w:val="0"/>
          <w:numId w:val="1001"/>
        </w:numPr>
        <w:pStyle w:val="Compact"/>
      </w:pPr>
      <w:r>
        <w:t xml:space="preserve">No active disciplinary cases or leave policy violations</w:t>
      </w:r>
    </w:p>
    <w:p>
      <w:pPr>
        <w:pStyle w:val="FirstParagraph"/>
      </w:pPr>
      <w:r>
        <w:rPr>
          <w:b/>
        </w:rPr>
        <w:t xml:space="preserve">Payment timing:</w:t>
      </w:r>
      <w:r>
        <w:t xml:space="preserve"> </w:t>
      </w:r>
      <w:r>
        <w:t xml:space="preserve">Performance bonus is evaluated in December and paid by February 28th of the following fiscal year.</w:t>
      </w:r>
    </w:p>
    <w:p>
      <w:pPr>
        <w:pStyle w:val="BodyText"/>
      </w:pPr>
      <w:r>
        <w:rPr>
          <w:b/>
        </w:rPr>
        <w:t xml:space="preserve">Eligibility:</w:t>
      </w:r>
      <w:r>
        <w:t xml:space="preserve"> </w:t>
      </w:r>
      <w:r>
        <w:t xml:space="preserve">You must be employed through the performance review window (pro-rata for joiners mid-year).</w:t>
      </w:r>
    </w:p>
    <w:p>
      <w:r>
        <w:pict>
          <v:rect style="width:0;height:1.5pt" o:hralign="center" o:hrstd="t" o:hr="t"/>
        </w:pict>
      </w:r>
    </w:p>
    <w:p>
      <w:pPr>
        <w:pStyle w:val="Heading2"/>
      </w:pPr>
      <w:bookmarkStart w:id="30" w:name="esop-equity-grant"/>
      <w:r>
        <w:t xml:space="preserve">2.3 ESOP / Equity Grant</w:t>
      </w:r>
      <w:bookmarkEnd w:id="30"/>
    </w:p>
    <w:p>
      <w:pPr>
        <w:pStyle w:val="Heading3"/>
      </w:pPr>
      <w:bookmarkStart w:id="31" w:name="a-grant-details"/>
      <w:r>
        <w:t xml:space="preserve">2.3(a) Grant Details</w:t>
      </w:r>
      <w:bookmarkEnd w:id="31"/>
    </w:p>
    <w:p>
      <w:pPr>
        <w:pStyle w:val="FirstParagraph"/>
      </w:pPr>
      <w:r>
        <w:t xml:space="preserve">As part of the compensation package, you are granted:</w:t>
      </w:r>
    </w:p>
    <w:p>
      <w:pPr>
        <w:numPr>
          <w:ilvl w:val="0"/>
          <w:numId w:val="1002"/>
        </w:numPr>
        <w:pStyle w:val="Compact"/>
      </w:pPr>
      <w:r>
        <w:rPr>
          <w:b/>
        </w:rPr>
        <w:t xml:space="preserve">Number of Options:</w:t>
      </w:r>
      <w:r>
        <w:t xml:space="preserve"> </w:t>
      </w:r>
      <w:r>
        <w:rPr>
          <w:rStyle w:val="VerbatimChar"/>
        </w:rPr>
        <w:t xml:space="preserve">[X,XXX]</w:t>
      </w:r>
      <w:r>
        <w:t xml:space="preserve"> </w:t>
      </w:r>
      <w:r>
        <w:t xml:space="preserve">ESOP / equity options</w:t>
      </w:r>
    </w:p>
    <w:p>
      <w:pPr>
        <w:numPr>
          <w:ilvl w:val="0"/>
          <w:numId w:val="1002"/>
        </w:numPr>
        <w:pStyle w:val="Compact"/>
      </w:pPr>
      <w:r>
        <w:rPr>
          <w:b/>
        </w:rPr>
        <w:t xml:space="preserve">Strike Price:</w:t>
      </w:r>
      <w:r>
        <w:t xml:space="preserve"> </w:t>
      </w:r>
      <w:r>
        <w:t xml:space="preserve">₹</w:t>
      </w:r>
      <w:r>
        <w:rPr>
          <w:rStyle w:val="VerbatimChar"/>
        </w:rPr>
        <w:t xml:space="preserve">[Strike Price]</w:t>
      </w:r>
      <w:r>
        <w:t xml:space="preserve"> </w:t>
      </w:r>
      <w:r>
        <w:t xml:space="preserve">per option (as determined by the Board on the grant date; likely par value of ₹10 per share)</w:t>
      </w:r>
    </w:p>
    <w:p>
      <w:pPr>
        <w:numPr>
          <w:ilvl w:val="0"/>
          <w:numId w:val="1002"/>
        </w:numPr>
        <w:pStyle w:val="Compact"/>
      </w:pPr>
      <w:r>
        <w:rPr>
          <w:b/>
        </w:rPr>
        <w:t xml:space="preserve">Vesting Schedule:</w:t>
      </w:r>
      <w:r>
        <w:t xml:space="preserve"> </w:t>
      </w:r>
      <w:r>
        <w:t xml:space="preserve">4-year vesting with 1-year cliff</w:t>
      </w:r>
    </w:p>
    <w:p>
      <w:pPr>
        <w:numPr>
          <w:ilvl w:val="1"/>
          <w:numId w:val="1003"/>
        </w:numPr>
        <w:pStyle w:val="Compact"/>
      </w:pPr>
      <w:r>
        <w:t xml:space="preserve">0–1 year: 0% vesting (cliff)</w:t>
      </w:r>
    </w:p>
    <w:p>
      <w:pPr>
        <w:numPr>
          <w:ilvl w:val="1"/>
          <w:numId w:val="1003"/>
        </w:numPr>
        <w:pStyle w:val="Compact"/>
      </w:pPr>
      <w:r>
        <w:t xml:space="preserve">1–2 year: 25% vesting (on anniversary)</w:t>
      </w:r>
    </w:p>
    <w:p>
      <w:pPr>
        <w:numPr>
          <w:ilvl w:val="1"/>
          <w:numId w:val="1003"/>
        </w:numPr>
        <w:pStyle w:val="Compact"/>
      </w:pPr>
      <w:r>
        <w:t xml:space="preserve">2–3 year: 25% vesting</w:t>
      </w:r>
    </w:p>
    <w:p>
      <w:pPr>
        <w:numPr>
          <w:ilvl w:val="1"/>
          <w:numId w:val="1003"/>
        </w:numPr>
        <w:pStyle w:val="Compact"/>
      </w:pPr>
      <w:r>
        <w:t xml:space="preserve">3–4 year: 25% vesting</w:t>
      </w:r>
    </w:p>
    <w:p>
      <w:pPr>
        <w:numPr>
          <w:ilvl w:val="1"/>
          <w:numId w:val="1003"/>
        </w:numPr>
        <w:pStyle w:val="Compact"/>
      </w:pPr>
      <w:r>
        <w:t xml:space="preserve">4+ years: 100% vested</w:t>
      </w:r>
    </w:p>
    <w:p>
      <w:pPr>
        <w:pStyle w:val="FirstParagraph"/>
      </w:pPr>
      <w:r>
        <w:rPr>
          <w:b/>
        </w:rPr>
        <w:t xml:space="preserve">Example:</w:t>
      </w:r>
      <w:r>
        <w:t xml:space="preserve"> </w:t>
      </w:r>
      <w:r>
        <w:t xml:space="preserve">With 4,000 options, 1,000 options vest on your 1-year anniversary, and 1,000 options vest each subsequent anniversary.</w:t>
      </w:r>
    </w:p>
    <w:p>
      <w:pPr>
        <w:pStyle w:val="Heading3"/>
      </w:pPr>
      <w:bookmarkStart w:id="32" w:name="b-vesting-acceleration"/>
      <w:r>
        <w:t xml:space="preserve">2.3(b) Vesting &amp; Acceleration</w:t>
      </w:r>
      <w:bookmarkEnd w:id="32"/>
    </w:p>
    <w:p>
      <w:pPr>
        <w:pStyle w:val="FirstParagraph"/>
      </w:pPr>
      <w:r>
        <w:rPr>
          <w:b/>
        </w:rPr>
        <w:t xml:space="preserve">Normal Vesting:</w:t>
      </w:r>
      <w:r>
        <w:t xml:space="preserve"> </w:t>
      </w:r>
      <w:r>
        <w:t xml:space="preserve">Options vest monthly during your employment (i.e., 1/48th of the total grant each month).</w:t>
      </w:r>
    </w:p>
    <w:p>
      <w:pPr>
        <w:pStyle w:val="BodyText"/>
      </w:pPr>
      <w:r>
        <w:rPr>
          <w:b/>
        </w:rPr>
        <w:t xml:space="preserve">Double-Trigger Acceleration (Change of Control):</w:t>
      </w:r>
      <w:r>
        <w:t xml:space="preserve"> </w:t>
      </w:r>
      <w:r>
        <w:t xml:space="preserve">If the Company is acquired or undergoes a change of control:</w:t>
      </w:r>
    </w:p>
    <w:p>
      <w:pPr>
        <w:numPr>
          <w:ilvl w:val="0"/>
          <w:numId w:val="1004"/>
        </w:numPr>
        <w:pStyle w:val="Compact"/>
      </w:pPr>
      <w:r>
        <w:t xml:space="preserve">All unvested options accelerate to 50% vesting, OR</w:t>
      </w:r>
    </w:p>
    <w:p>
      <w:pPr>
        <w:numPr>
          <w:ilvl w:val="0"/>
          <w:numId w:val="1004"/>
        </w:numPr>
        <w:pStyle w:val="Compact"/>
      </w:pPr>
      <w:r>
        <w:t xml:space="preserve">All unvested options vest in full (if acquisition results in termination of your employment without cause)</w:t>
      </w:r>
    </w:p>
    <w:p>
      <w:pPr>
        <w:pStyle w:val="FirstParagraph"/>
      </w:pPr>
      <w:r>
        <w:t xml:space="preserve">[</w:t>
      </w:r>
      <w:r>
        <w:rPr>
          <w:i/>
        </w:rPr>
        <w:t xml:space="preserve">Counsel to confirm: standard in India startups is 50% acceleration; 100% acceleration is rarer. Align with Board ESOP policy.</w:t>
      </w:r>
      <w:r>
        <w:t xml:space="preserve">]</w:t>
      </w:r>
    </w:p>
    <w:p>
      <w:pPr>
        <w:pStyle w:val="BodyText"/>
      </w:pPr>
      <w:r>
        <w:rPr>
          <w:b/>
        </w:rPr>
        <w:t xml:space="preserve">Single Trigger:</w:t>
      </w:r>
      <w:r>
        <w:t xml:space="preserve"> </w:t>
      </w:r>
      <w:r>
        <w:t xml:space="preserve">Single-trigger acceleration (all options vest immediately upon CoC, regardless of employment) is</w:t>
      </w:r>
      <w:r>
        <w:t xml:space="preserve"> </w:t>
      </w:r>
      <w:r>
        <w:rPr>
          <w:b/>
        </w:rPr>
        <w:t xml:space="preserve">NOT offered</w:t>
      </w:r>
      <w:r>
        <w:t xml:space="preserve"> </w:t>
      </w:r>
      <w:r>
        <w:t xml:space="preserve">in this standard grant. [</w:t>
      </w:r>
      <w:r>
        <w:rPr>
          <w:i/>
        </w:rPr>
        <w:t xml:space="preserve">Renegotiate only for CEO/founder-level roles.</w:t>
      </w:r>
      <w:r>
        <w:t xml:space="preserve">]</w:t>
      </w:r>
    </w:p>
    <w:p>
      <w:pPr>
        <w:pStyle w:val="Heading3"/>
      </w:pPr>
      <w:bookmarkStart w:id="33" w:name="c-vesting-upon-termination"/>
      <w:r>
        <w:t xml:space="preserve">2.3(c) Vesting Upon Termination</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Termination Reason</w:t>
            </w:r>
          </w:p>
        </w:tc>
        <w:tc>
          <w:tcPr>
            <w:tcBorders>
              <w:bottom w:val="single"/>
            </w:tcBorders>
            <w:vAlign w:val="bottom"/>
          </w:tcPr>
          <w:p>
            <w:pPr>
              <w:pStyle w:val="Compact"/>
              <w:jc w:val="left"/>
            </w:pPr>
            <w:r>
              <w:t xml:space="preserve">Unvested Options</w:t>
            </w:r>
          </w:p>
        </w:tc>
        <w:tc>
          <w:tcPr>
            <w:tcBorders>
              <w:bottom w:val="single"/>
            </w:tcBorders>
            <w:vAlign w:val="bottom"/>
          </w:tcPr>
          <w:p>
            <w:pPr>
              <w:pStyle w:val="Compact"/>
              <w:jc w:val="left"/>
            </w:pPr>
            <w:r>
              <w:t xml:space="preserve">Exercisable Period</w:t>
            </w:r>
          </w:p>
        </w:tc>
      </w:tr>
      <w:tr>
        <w:tc>
          <w:p>
            <w:pPr>
              <w:pStyle w:val="Compact"/>
              <w:jc w:val="left"/>
            </w:pPr>
            <w:r>
              <w:t xml:space="preserve">Resignation / Voluntary Exit</w:t>
            </w:r>
          </w:p>
        </w:tc>
        <w:tc>
          <w:p>
            <w:pPr>
              <w:pStyle w:val="Compact"/>
              <w:jc w:val="left"/>
            </w:pPr>
            <w:r>
              <w:t xml:space="preserve">Forfeit</w:t>
            </w:r>
          </w:p>
        </w:tc>
        <w:tc>
          <w:p>
            <w:pPr>
              <w:pStyle w:val="Compact"/>
              <w:jc w:val="left"/>
            </w:pPr>
            <w:r>
              <w:t xml:space="preserve">N/A</w:t>
            </w:r>
          </w:p>
        </w:tc>
      </w:tr>
      <w:tr>
        <w:tc>
          <w:p>
            <w:pPr>
              <w:pStyle w:val="Compact"/>
              <w:jc w:val="left"/>
            </w:pPr>
            <w:r>
              <w:t xml:space="preserve">Termination for Cause (gross misconduct, theft, IP theft)</w:t>
            </w:r>
          </w:p>
        </w:tc>
        <w:tc>
          <w:p>
            <w:pPr>
              <w:pStyle w:val="Compact"/>
              <w:jc w:val="left"/>
            </w:pPr>
            <w:r>
              <w:t xml:space="preserve">Forfeit</w:t>
            </w:r>
          </w:p>
        </w:tc>
        <w:tc>
          <w:p>
            <w:pPr>
              <w:pStyle w:val="Compact"/>
              <w:jc w:val="left"/>
            </w:pPr>
            <w:r>
              <w:t xml:space="preserve">N/A</w:t>
            </w:r>
          </w:p>
        </w:tc>
      </w:tr>
      <w:tr>
        <w:tc>
          <w:p>
            <w:pPr>
              <w:pStyle w:val="Compact"/>
              <w:jc w:val="left"/>
            </w:pPr>
            <w:r>
              <w:t xml:space="preserve">Termination without Cause (redundancy, restructure)</w:t>
            </w:r>
          </w:p>
        </w:tc>
        <w:tc>
          <w:p>
            <w:pPr>
              <w:pStyle w:val="Compact"/>
              <w:jc w:val="left"/>
            </w:pPr>
            <w:r>
              <w:t xml:space="preserve">Accelerate to 50% vested</w:t>
            </w:r>
          </w:p>
        </w:tc>
        <w:tc>
          <w:p>
            <w:pPr>
              <w:pStyle w:val="Compact"/>
              <w:jc w:val="left"/>
            </w:pPr>
            <w:r>
              <w:t xml:space="preserve">90 days post-termination</w:t>
            </w:r>
          </w:p>
        </w:tc>
      </w:tr>
      <w:tr>
        <w:tc>
          <w:p>
            <w:pPr>
              <w:pStyle w:val="Compact"/>
              <w:jc w:val="left"/>
            </w:pPr>
            <w:r>
              <w:t xml:space="preserve">Death or Disability (medical determination)</w:t>
            </w:r>
          </w:p>
        </w:tc>
        <w:tc>
          <w:p>
            <w:pPr>
              <w:pStyle w:val="Compact"/>
              <w:jc w:val="left"/>
            </w:pPr>
            <w:r>
              <w:t xml:space="preserve">Accelerate to 100% vested</w:t>
            </w:r>
          </w:p>
        </w:tc>
        <w:tc>
          <w:p>
            <w:pPr>
              <w:pStyle w:val="Compact"/>
              <w:jc w:val="left"/>
            </w:pPr>
            <w:r>
              <w:t xml:space="preserve">365 days (estate/beneficiary)</w:t>
            </w:r>
          </w:p>
        </w:tc>
      </w:tr>
      <w:tr>
        <w:tc>
          <w:p>
            <w:pPr>
              <w:pStyle w:val="Compact"/>
              <w:jc w:val="left"/>
            </w:pPr>
            <w:r>
              <w:t xml:space="preserve">Retirement (age 60+, company consent)</w:t>
            </w:r>
          </w:p>
        </w:tc>
        <w:tc>
          <w:p>
            <w:pPr>
              <w:pStyle w:val="Compact"/>
              <w:jc w:val="left"/>
            </w:pPr>
            <w:r>
              <w:t xml:space="preserve">Continue vesting for 12 months post-retirement</w:t>
            </w:r>
          </w:p>
        </w:tc>
        <w:tc>
          <w:p>
            <w:pPr>
              <w:pStyle w:val="Compact"/>
              <w:jc w:val="left"/>
            </w:pPr>
            <w:r>
              <w:t xml:space="preserve">365 days post-retirement</w:t>
            </w:r>
          </w:p>
        </w:tc>
      </w:tr>
    </w:tbl>
    <w:p>
      <w:pPr>
        <w:pStyle w:val="Heading3"/>
      </w:pPr>
      <w:bookmarkStart w:id="34" w:name="d-exercise-liquidity"/>
      <w:r>
        <w:t xml:space="preserve">2.3(d) Exercise &amp; Liquidity</w:t>
      </w:r>
      <w:bookmarkEnd w:id="34"/>
    </w:p>
    <w:p>
      <w:pPr>
        <w:numPr>
          <w:ilvl w:val="0"/>
          <w:numId w:val="1005"/>
        </w:numPr>
        <w:pStyle w:val="Compact"/>
      </w:pPr>
      <w:r>
        <w:rPr>
          <w:b/>
        </w:rPr>
        <w:t xml:space="preserve">Exercise Window:</w:t>
      </w:r>
      <w:r>
        <w:t xml:space="preserve"> </w:t>
      </w:r>
      <w:r>
        <w:t xml:space="preserve">After vesting, options must be exercised within the applicable period above, or they expire.</w:t>
      </w:r>
    </w:p>
    <w:p>
      <w:pPr>
        <w:numPr>
          <w:ilvl w:val="0"/>
          <w:numId w:val="1005"/>
        </w:numPr>
        <w:pStyle w:val="Compact"/>
      </w:pPr>
      <w:r>
        <w:rPr>
          <w:b/>
        </w:rPr>
        <w:t xml:space="preserve">Exercise Mechanism:</w:t>
      </w:r>
      <w:r>
        <w:t xml:space="preserve"> </w:t>
      </w:r>
      <w:r>
        <w:t xml:space="preserve">Submit written exercise notice to the Company; pay strike price per option in full (cash or bank transfer).</w:t>
      </w:r>
    </w:p>
    <w:p>
      <w:pPr>
        <w:numPr>
          <w:ilvl w:val="0"/>
          <w:numId w:val="1005"/>
        </w:numPr>
        <w:pStyle w:val="Compact"/>
      </w:pPr>
      <w:r>
        <w:rPr>
          <w:b/>
        </w:rPr>
        <w:t xml:space="preserve">Shares Issued:</w:t>
      </w:r>
      <w:r>
        <w:t xml:space="preserve"> </w:t>
      </w:r>
      <w:r>
        <w:t xml:space="preserve">Upon exercise, the Company issues equity shares; these are subject to the Constitution and Company law.</w:t>
      </w:r>
    </w:p>
    <w:p>
      <w:pPr>
        <w:numPr>
          <w:ilvl w:val="0"/>
          <w:numId w:val="1005"/>
        </w:numPr>
        <w:pStyle w:val="Compact"/>
      </w:pPr>
      <w:r>
        <w:rPr>
          <w:b/>
        </w:rPr>
        <w:t xml:space="preserve">Liquidity:</w:t>
      </w:r>
      <w:r>
        <w:t xml:space="preserve"> </w:t>
      </w:r>
      <w:r>
        <w:t xml:space="preserve">Shares are illiquid until a liquidity event (IPO, acquisition, secondary sale). No guaranteed buyer or exit.</w:t>
      </w:r>
    </w:p>
    <w:p>
      <w:pPr>
        <w:numPr>
          <w:ilvl w:val="0"/>
          <w:numId w:val="1005"/>
        </w:numPr>
        <w:pStyle w:val="Compact"/>
      </w:pPr>
      <w:r>
        <w:rPr>
          <w:b/>
        </w:rPr>
        <w:t xml:space="preserve">Tax Treatment:</w:t>
      </w:r>
      <w:r>
        <w:t xml:space="preserve"> </w:t>
      </w:r>
      <w:r>
        <w:t xml:space="preserve">Exercise is a taxable event under Indian income tax (as per ESOP rules under the Income Tax Act). Consult a tax advisor.</w:t>
      </w:r>
    </w:p>
    <w:p>
      <w:pPr>
        <w:pStyle w:val="Heading3"/>
      </w:pPr>
      <w:bookmarkStart w:id="35" w:name="e-clawback"/>
      <w:r>
        <w:t xml:space="preserve">2.3(e) Clawback</w:t>
      </w:r>
      <w:bookmarkEnd w:id="35"/>
    </w:p>
    <w:p>
      <w:pPr>
        <w:pStyle w:val="FirstParagraph"/>
      </w:pPr>
      <w:r>
        <w:t xml:space="preserve">In case of gross misconduct, breach of confidentiality, or fraudulent behavior discovered post-grant:</w:t>
      </w:r>
    </w:p>
    <w:p>
      <w:pPr>
        <w:numPr>
          <w:ilvl w:val="0"/>
          <w:numId w:val="1006"/>
        </w:numPr>
        <w:pStyle w:val="Compact"/>
      </w:pPr>
      <w:r>
        <w:t xml:space="preserve">Vested shares may be forfeited or repurchased at strike price.</w:t>
      </w:r>
    </w:p>
    <w:p>
      <w:pPr>
        <w:numPr>
          <w:ilvl w:val="0"/>
          <w:numId w:val="1006"/>
        </w:numPr>
        <w:pStyle w:val="Compact"/>
      </w:pPr>
      <w:r>
        <w:t xml:space="preserve">Unvested options are automatically forfeited.</w:t>
      </w:r>
    </w:p>
    <w:p>
      <w:r>
        <w:pict>
          <v:rect style="width:0;height:1.5pt" o:hralign="center" o:hrstd="t" o:hr="t"/>
        </w:pict>
      </w:r>
    </w:p>
    <w:p>
      <w:pPr>
        <w:pStyle w:val="Heading2"/>
      </w:pPr>
      <w:bookmarkStart w:id="36" w:name="benefits-statutory-entitlements"/>
      <w:r>
        <w:t xml:space="preserve">3. BENEFITS &amp; STATUTORY ENTITLEMENTS</w:t>
      </w:r>
      <w:bookmarkEnd w:id="36"/>
    </w:p>
    <w:p>
      <w:pPr>
        <w:pStyle w:val="Heading3"/>
      </w:pPr>
      <w:bookmarkStart w:id="37" w:name="leave-policy"/>
      <w:r>
        <w:t xml:space="preserve">3.1 Leave Policy</w:t>
      </w:r>
      <w:bookmarkEnd w:id="37"/>
    </w:p>
    <w:p>
      <w:pPr>
        <w:pStyle w:val="FirstParagraph"/>
      </w:pPr>
      <w:r>
        <w:t xml:space="preserve">You are entitled to the following</w:t>
      </w:r>
      <w:r>
        <w:t xml:space="preserve"> </w:t>
      </w:r>
      <w:r>
        <w:rPr>
          <w:b/>
        </w:rPr>
        <w:t xml:space="preserve">paid leave</w:t>
      </w:r>
      <w:r>
        <w:t xml:space="preserve"> </w:t>
      </w:r>
      <w:r>
        <w:t xml:space="preserve">per calendar year: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Leave Type</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Notes</w:t>
            </w:r>
          </w:p>
        </w:tc>
      </w:tr>
      <w:tr>
        <w:tc>
          <w:p>
            <w:pPr>
              <w:pStyle w:val="Compact"/>
              <w:jc w:val="left"/>
            </w:pPr>
            <w:r>
              <w:rPr>
                <w:b/>
              </w:rPr>
              <w:t xml:space="preserve">Casual Leave (CL)</w:t>
            </w:r>
          </w:p>
        </w:tc>
        <w:tc>
          <w:p>
            <w:pPr>
              <w:pStyle w:val="Compact"/>
              <w:jc w:val="left"/>
            </w:pPr>
            <w:r>
              <w:t xml:space="preserve">10</w:t>
            </w:r>
          </w:p>
        </w:tc>
        <w:tc>
          <w:p>
            <w:pPr>
              <w:pStyle w:val="Compact"/>
              <w:jc w:val="left"/>
            </w:pPr>
            <w:r>
              <w:t xml:space="preserve">Can be taken without prior notice; balance lapses annually</w:t>
            </w:r>
          </w:p>
        </w:tc>
      </w:tr>
      <w:tr>
        <w:tc>
          <w:p>
            <w:pPr>
              <w:pStyle w:val="Compact"/>
              <w:jc w:val="left"/>
            </w:pPr>
            <w:r>
              <w:rPr>
                <w:b/>
              </w:rPr>
              <w:t xml:space="preserve">Paid Leave (PL)</w:t>
            </w:r>
          </w:p>
        </w:tc>
        <w:tc>
          <w:p>
            <w:pPr>
              <w:pStyle w:val="Compact"/>
              <w:jc w:val="left"/>
            </w:pPr>
            <w:r>
              <w:t xml:space="preserve">12</w:t>
            </w:r>
          </w:p>
        </w:tc>
        <w:tc>
          <w:p>
            <w:pPr>
              <w:pStyle w:val="Compact"/>
              <w:jc w:val="left"/>
            </w:pPr>
            <w:r>
              <w:t xml:space="preserve">Accrued at 1 day/month; can carry forward max 10 days</w:t>
            </w:r>
          </w:p>
        </w:tc>
      </w:tr>
      <w:tr>
        <w:tc>
          <w:p>
            <w:pPr>
              <w:pStyle w:val="Compact"/>
              <w:jc w:val="left"/>
            </w:pPr>
            <w:r>
              <w:rPr>
                <w:b/>
              </w:rPr>
              <w:t xml:space="preserve">Sick Leave (SL)</w:t>
            </w:r>
          </w:p>
        </w:tc>
        <w:tc>
          <w:p>
            <w:pPr>
              <w:pStyle w:val="Compact"/>
              <w:jc w:val="left"/>
            </w:pPr>
            <w:r>
              <w:t xml:space="preserve">5</w:t>
            </w:r>
          </w:p>
        </w:tc>
        <w:tc>
          <w:p>
            <w:pPr>
              <w:pStyle w:val="Compact"/>
              <w:jc w:val="left"/>
            </w:pPr>
            <w:r>
              <w:t xml:space="preserve">Requires medical certificate for &gt;3 consecutive days</w:t>
            </w:r>
          </w:p>
        </w:tc>
      </w:tr>
      <w:tr>
        <w:tc>
          <w:p>
            <w:pPr>
              <w:pStyle w:val="Compact"/>
              <w:jc w:val="left"/>
            </w:pPr>
            <w:r>
              <w:rPr>
                <w:b/>
              </w:rPr>
              <w:t xml:space="preserve">Maternity Leave</w:t>
            </w:r>
          </w:p>
        </w:tc>
        <w:tc>
          <w:p>
            <w:pPr>
              <w:pStyle w:val="Compact"/>
              <w:jc w:val="left"/>
            </w:pPr>
            <w:r>
              <w:t xml:space="preserve">26 weeks (182 days)</w:t>
            </w:r>
          </w:p>
        </w:tc>
        <w:tc>
          <w:p>
            <w:pPr>
              <w:pStyle w:val="Compact"/>
              <w:jc w:val="left"/>
            </w:pPr>
            <w:r>
              <w:t xml:space="preserve">Per Maternity Benefit Act, 1961; fully paid; medical certification</w:t>
            </w:r>
          </w:p>
        </w:tc>
      </w:tr>
      <w:tr>
        <w:tc>
          <w:p>
            <w:pPr>
              <w:pStyle w:val="Compact"/>
              <w:jc w:val="left"/>
            </w:pPr>
            <w:r>
              <w:rPr>
                <w:b/>
              </w:rPr>
              <w:t xml:space="preserve">Paternity Leave</w:t>
            </w:r>
          </w:p>
        </w:tc>
        <w:tc>
          <w:p>
            <w:pPr>
              <w:pStyle w:val="Compact"/>
              <w:jc w:val="left"/>
            </w:pPr>
            <w:r>
              <w:t xml:space="preserve">5 days</w:t>
            </w:r>
          </w:p>
        </w:tc>
        <w:tc>
          <w:p>
            <w:pPr>
              <w:pStyle w:val="Compact"/>
              <w:jc w:val="left"/>
            </w:pPr>
            <w:r>
              <w:t xml:space="preserve">Per Government guidelines (subject to future statutory changes)</w:t>
            </w:r>
          </w:p>
        </w:tc>
      </w:tr>
      <w:tr>
        <w:tc>
          <w:p>
            <w:pPr>
              <w:pStyle w:val="Compact"/>
              <w:jc w:val="left"/>
            </w:pPr>
            <w:r>
              <w:rPr>
                <w:b/>
              </w:rPr>
              <w:t xml:space="preserve">Bereavement Leave</w:t>
            </w:r>
          </w:p>
        </w:tc>
        <w:tc>
          <w:p>
            <w:pPr>
              <w:pStyle w:val="Compact"/>
              <w:jc w:val="left"/>
            </w:pPr>
            <w:r>
              <w:t xml:space="preserve">3 days</w:t>
            </w:r>
          </w:p>
        </w:tc>
        <w:tc>
          <w:p>
            <w:pPr>
              <w:pStyle w:val="Compact"/>
              <w:jc w:val="left"/>
            </w:pPr>
            <w:r>
              <w:t xml:space="preserve">For immediate family (spouse, child, parent); case-by-case determination</w:t>
            </w:r>
          </w:p>
        </w:tc>
      </w:tr>
    </w:tbl>
    <w:p>
      <w:pPr>
        <w:pStyle w:val="BodyText"/>
      </w:pPr>
      <w:r>
        <w:rPr>
          <w:b/>
        </w:rPr>
        <w:t xml:space="preserve">Public Holidays:</w:t>
      </w:r>
      <w:r>
        <w:t xml:space="preserve"> </w:t>
      </w:r>
      <w:r>
        <w:t xml:space="preserve">As per the Shops &amp; Establishments Act, 1961 (Karnataka, if Bengaluru-based); holidays listed in the Company calendar.</w:t>
      </w:r>
    </w:p>
    <w:p>
      <w:pPr>
        <w:pStyle w:val="BodyText"/>
      </w:pPr>
      <w:r>
        <w:rPr>
          <w:b/>
        </w:rPr>
        <w:t xml:space="preserve">Leave Balance Management:</w:t>
      </w:r>
      <w:r>
        <w:t xml:space="preserve"> </w:t>
      </w:r>
      <w:r>
        <w:t xml:space="preserve">- Unused CL lapses at year-end (no carry-forward).</w:t>
      </w:r>
      <w:r>
        <w:t xml:space="preserve"> </w:t>
      </w:r>
      <w:r>
        <w:t xml:space="preserve">- Unused PL (up to 10 days) carries forward to next year; beyond 10 days lapses.</w:t>
      </w:r>
      <w:r>
        <w:t xml:space="preserve"> </w:t>
      </w:r>
      <w:r>
        <w:t xml:space="preserve">- Leave cannot be encashed except upon separation or as per Company policy.</w:t>
      </w:r>
    </w:p>
    <w:p>
      <w:pPr>
        <w:pStyle w:val="Heading3"/>
      </w:pPr>
      <w:bookmarkStart w:id="38" w:name="insurance-health-benefits"/>
      <w:r>
        <w:t xml:space="preserve">3.2 Insurance &amp; Health Benefits</w:t>
      </w:r>
      <w:bookmarkEnd w:id="38"/>
    </w:p>
    <w:p>
      <w:pPr>
        <w:pStyle w:val="FirstParagraph"/>
      </w:pPr>
      <w:r>
        <w:rPr>
          <w:b/>
        </w:rPr>
        <w:t xml:space="preserve">Health Insurance:</w:t>
      </w:r>
      <w:r>
        <w:t xml:space="preserve"> </w:t>
      </w:r>
      <w:r>
        <w:t xml:space="preserve">Company provides</w:t>
      </w:r>
      <w:r>
        <w:t xml:space="preserve"> </w:t>
      </w:r>
      <w:r>
        <w:rPr>
          <w:b/>
        </w:rPr>
        <w:t xml:space="preserve">health insurance</w:t>
      </w:r>
      <w:r>
        <w:t xml:space="preserve"> </w:t>
      </w:r>
      <w:r>
        <w:t xml:space="preserve">(premium-paid group policy, TPA provider:</w:t>
      </w:r>
      <w:r>
        <w:t xml:space="preserve"> </w:t>
      </w:r>
      <w:r>
        <w:rPr>
          <w:rStyle w:val="VerbatimChar"/>
        </w:rPr>
        <w:t xml:space="preserve">[Name]</w:t>
      </w:r>
      <w:r>
        <w:t xml:space="preserve">) covering:</w:t>
      </w:r>
    </w:p>
    <w:p>
      <w:pPr>
        <w:numPr>
          <w:ilvl w:val="0"/>
          <w:numId w:val="1007"/>
        </w:numPr>
        <w:pStyle w:val="Compact"/>
      </w:pPr>
      <w:r>
        <w:t xml:space="preserve">Hospitalization (in-patient and out-patient)</w:t>
      </w:r>
    </w:p>
    <w:p>
      <w:pPr>
        <w:numPr>
          <w:ilvl w:val="0"/>
          <w:numId w:val="1007"/>
        </w:numPr>
        <w:pStyle w:val="Compact"/>
      </w:pPr>
      <w:r>
        <w:t xml:space="preserve">Dependent coverage: Spouse + up to 2 children (age &lt;25)</w:t>
      </w:r>
    </w:p>
    <w:p>
      <w:pPr>
        <w:numPr>
          <w:ilvl w:val="0"/>
          <w:numId w:val="1007"/>
        </w:numPr>
        <w:pStyle w:val="Compact"/>
      </w:pPr>
      <w:r>
        <w:t xml:space="preserve">Pre-existing condition coverage (subject to policy terms)</w:t>
      </w:r>
    </w:p>
    <w:p>
      <w:pPr>
        <w:numPr>
          <w:ilvl w:val="0"/>
          <w:numId w:val="1007"/>
        </w:numPr>
        <w:pStyle w:val="Compact"/>
      </w:pPr>
      <w:r>
        <w:t xml:space="preserve">No co-pay for in-network hospitals; 20% co-pay for out-of-network</w:t>
      </w:r>
    </w:p>
    <w:p>
      <w:pPr>
        <w:pStyle w:val="FirstParagraph"/>
      </w:pPr>
      <w:r>
        <w:rPr>
          <w:b/>
        </w:rPr>
        <w:t xml:space="preserve">Additional Coverage:</w:t>
      </w:r>
      <w:r>
        <w:t xml:space="preserve"> </w:t>
      </w:r>
      <w:r>
        <w:t xml:space="preserve">- Accidental death &amp; disability (personal accident)</w:t>
      </w:r>
      <w:r>
        <w:t xml:space="preserve"> </w:t>
      </w:r>
      <w:r>
        <w:t xml:space="preserve">- Critical illness rider (optional, at employee cost)</w:t>
      </w:r>
    </w:p>
    <w:p>
      <w:pPr>
        <w:pStyle w:val="BodyText"/>
      </w:pPr>
      <w:r>
        <w:rPr>
          <w:b/>
        </w:rPr>
        <w:t xml:space="preserve">Eligibility:</w:t>
      </w:r>
      <w:r>
        <w:t xml:space="preserve"> </w:t>
      </w:r>
      <w:r>
        <w:t xml:space="preserve">Health insurance is effective on the date of joining or after probation completion, whichever is later.</w:t>
      </w:r>
    </w:p>
    <w:p>
      <w:pPr>
        <w:pStyle w:val="Heading3"/>
      </w:pPr>
      <w:bookmarkStart w:id="39" w:name="provident-fund-pf-retirement"/>
      <w:r>
        <w:t xml:space="preserve">3.3 Provident Fund (PF) &amp; Retirement</w:t>
      </w:r>
      <w:bookmarkEnd w:id="39"/>
    </w:p>
    <w:p>
      <w:pPr>
        <w:pStyle w:val="FirstParagraph"/>
      </w:pPr>
      <w:r>
        <w:rPr>
          <w:b/>
        </w:rPr>
        <w:t xml:space="preserve">Employees’ Provident Fund (EPF):</w:t>
      </w:r>
    </w:p>
    <w:p>
      <w:pPr>
        <w:numPr>
          <w:ilvl w:val="0"/>
          <w:numId w:val="1008"/>
        </w:numPr>
        <w:pStyle w:val="Compact"/>
      </w:pPr>
      <w:r>
        <w:t xml:space="preserve">Company contributes</w:t>
      </w:r>
      <w:r>
        <w:t xml:space="preserve"> </w:t>
      </w:r>
      <w:r>
        <w:rPr>
          <w:b/>
        </w:rPr>
        <w:t xml:space="preserve">13% of basic salary</w:t>
      </w:r>
      <w:r>
        <w:t xml:space="preserve"> </w:t>
      </w:r>
      <w:r>
        <w:t xml:space="preserve">to PF (as per EPF Act).</w:t>
      </w:r>
    </w:p>
    <w:p>
      <w:pPr>
        <w:numPr>
          <w:ilvl w:val="0"/>
          <w:numId w:val="1008"/>
        </w:numPr>
        <w:pStyle w:val="Compact"/>
      </w:pPr>
      <w:r>
        <w:t xml:space="preserve">You contribute</w:t>
      </w:r>
      <w:r>
        <w:t xml:space="preserve"> </w:t>
      </w:r>
      <w:r>
        <w:rPr>
          <w:b/>
        </w:rPr>
        <w:t xml:space="preserve">12% of basic salary</w:t>
      </w:r>
      <w:r>
        <w:t xml:space="preserve"> </w:t>
      </w:r>
      <w:r>
        <w:t xml:space="preserve">from your salary (deducted by Company).</w:t>
      </w:r>
    </w:p>
    <w:p>
      <w:pPr>
        <w:numPr>
          <w:ilvl w:val="0"/>
          <w:numId w:val="1008"/>
        </w:numPr>
        <w:pStyle w:val="Compact"/>
      </w:pPr>
      <w:r>
        <w:t xml:space="preserve">Total monthly PF credit: 25% of basic salary.</w:t>
      </w:r>
    </w:p>
    <w:p>
      <w:pPr>
        <w:numPr>
          <w:ilvl w:val="0"/>
          <w:numId w:val="1008"/>
        </w:numPr>
        <w:pStyle w:val="Compact"/>
      </w:pPr>
      <w:r>
        <w:t xml:space="preserve">PF account opens on joining; you receive PRAN (Permanent Retirement Account Number) from EPFO.</w:t>
      </w:r>
    </w:p>
    <w:p>
      <w:pPr>
        <w:numPr>
          <w:ilvl w:val="0"/>
          <w:numId w:val="1008"/>
        </w:numPr>
        <w:pStyle w:val="Compact"/>
      </w:pPr>
      <w:r>
        <w:t xml:space="preserve">Withdrawal rules per EPF Act (e.g., after age 58, partial withdrawal at age 50, loans against EPF balance).</w:t>
      </w:r>
    </w:p>
    <w:p>
      <w:pPr>
        <w:pStyle w:val="FirstParagraph"/>
      </w:pPr>
      <w:r>
        <w:rPr>
          <w:b/>
        </w:rPr>
        <w:t xml:space="preserve">Gratuity (if applicable):</w:t>
      </w:r>
    </w:p>
    <w:p>
      <w:pPr>
        <w:numPr>
          <w:ilvl w:val="0"/>
          <w:numId w:val="1009"/>
        </w:numPr>
        <w:pStyle w:val="Compact"/>
      </w:pPr>
      <w:r>
        <w:t xml:space="preserve">Per Payment of Gratuity Act, 1972, you are eligible for gratuity on separation (voluntary exit, retirement, or termination without cause) if service is ≥5 years.</w:t>
      </w:r>
    </w:p>
    <w:p>
      <w:pPr>
        <w:numPr>
          <w:ilvl w:val="0"/>
          <w:numId w:val="1009"/>
        </w:numPr>
        <w:pStyle w:val="Compact"/>
      </w:pPr>
      <w:r>
        <w:t xml:space="preserve">Gratuity = 15 days’ wages × years of service (maximum ₹20L as per current limit, subject to amendment).</w:t>
      </w:r>
    </w:p>
    <w:p>
      <w:pPr>
        <w:numPr>
          <w:ilvl w:val="0"/>
          <w:numId w:val="1009"/>
        </w:numPr>
        <w:pStyle w:val="Compact"/>
      </w:pPr>
      <w:r>
        <w:t xml:space="preserve">Calculation: [(Basic + DA) × 15 × Years of Service] ÷ 26 working days per week.</w:t>
      </w:r>
    </w:p>
    <w:p>
      <w:r>
        <w:pict>
          <v:rect style="width:0;height:1.5pt" o:hralign="center" o:hrstd="t" o:hr="t"/>
        </w:pict>
      </w:r>
    </w:p>
    <w:p>
      <w:pPr>
        <w:pStyle w:val="Heading2"/>
      </w:pPr>
      <w:bookmarkStart w:id="40" w:name="probation-period-performance"/>
      <w:r>
        <w:t xml:space="preserve">4. PROBATION PERIOD &amp; PERFORMANCE</w:t>
      </w:r>
      <w:bookmarkEnd w:id="40"/>
    </w:p>
    <w:p>
      <w:pPr>
        <w:pStyle w:val="Heading3"/>
      </w:pPr>
      <w:bookmarkStart w:id="41" w:name="probation-duration"/>
      <w:r>
        <w:t xml:space="preserve">4.1 Probation Duration</w:t>
      </w:r>
      <w:bookmarkEnd w:id="41"/>
    </w:p>
    <w:p>
      <w:pPr>
        <w:pStyle w:val="FirstParagraph"/>
      </w:pPr>
      <w:r>
        <w:t xml:space="preserve">Your employment is</w:t>
      </w:r>
      <w:r>
        <w:t xml:space="preserve"> </w:t>
      </w:r>
      <w:r>
        <w:rPr>
          <w:b/>
        </w:rPr>
        <w:t xml:space="preserve">conditional upon satisfactory completion of a 6-month probation period</w:t>
      </w:r>
      <w:r>
        <w:t xml:space="preserve">, beginning on your date of joining (</w:t>
      </w:r>
      <w:r>
        <w:rPr>
          <w:rStyle w:val="VerbatimChar"/>
        </w:rPr>
        <w:t xml:space="preserve">[Joining Date]</w:t>
      </w:r>
      <w:r>
        <w:t xml:space="preserve">, tentative). Probation end date:</w:t>
      </w:r>
      <w:r>
        <w:t xml:space="preserve"> </w:t>
      </w:r>
      <w:r>
        <w:rPr>
          <w:rStyle w:val="VerbatimChar"/>
        </w:rPr>
        <w:t xml:space="preserve">[Probation End Date]</w:t>
      </w:r>
      <w:r>
        <w:t xml:space="preserve">.</w:t>
      </w:r>
    </w:p>
    <w:p>
      <w:pPr>
        <w:pStyle w:val="BodyText"/>
      </w:pPr>
      <w:r>
        <w:rPr>
          <w:b/>
        </w:rPr>
        <w:t xml:space="preserve">Probation Completion Conditions:</w:t>
      </w:r>
    </w:p>
    <w:p>
      <w:pPr>
        <w:numPr>
          <w:ilvl w:val="0"/>
          <w:numId w:val="1010"/>
        </w:numPr>
        <w:pStyle w:val="Compact"/>
      </w:pPr>
      <w:r>
        <w:t xml:space="preserve">Performance review score ≥2.5/5.0 by direct manager</w:t>
      </w:r>
    </w:p>
    <w:p>
      <w:pPr>
        <w:numPr>
          <w:ilvl w:val="0"/>
          <w:numId w:val="1010"/>
        </w:numPr>
        <w:pStyle w:val="Compact"/>
      </w:pPr>
      <w:r>
        <w:t xml:space="preserve">No disciplinary cases or gross breaches of conduct</w:t>
      </w:r>
    </w:p>
    <w:p>
      <w:pPr>
        <w:numPr>
          <w:ilvl w:val="0"/>
          <w:numId w:val="1010"/>
        </w:numPr>
        <w:pStyle w:val="Compact"/>
      </w:pPr>
      <w:r>
        <w:t xml:space="preserve">Adherence to company policies (attendance, confidentiality, code of conduct)</w:t>
      </w:r>
    </w:p>
    <w:p>
      <w:pPr>
        <w:numPr>
          <w:ilvl w:val="0"/>
          <w:numId w:val="1010"/>
        </w:numPr>
        <w:pStyle w:val="Compact"/>
      </w:pPr>
      <w:r>
        <w:t xml:space="preserve">Successful completion of onboarding modules (HR, security, compliance training)</w:t>
      </w:r>
    </w:p>
    <w:p>
      <w:pPr>
        <w:pStyle w:val="Heading3"/>
      </w:pPr>
      <w:bookmarkStart w:id="42" w:name="probation-notice-period"/>
      <w:r>
        <w:t xml:space="preserve">4.2 Probation Notice Period</w:t>
      </w:r>
      <w:bookmarkEnd w:id="42"/>
    </w:p>
    <w:p>
      <w:pPr>
        <w:pStyle w:val="FirstParagraph"/>
      </w:pPr>
      <w:r>
        <w:rPr>
          <w:b/>
        </w:rPr>
        <w:t xml:space="preserve">During Probation (6 months):</w:t>
      </w:r>
      <w:r>
        <w:t xml:space="preserve"> </w:t>
      </w:r>
      <w:r>
        <w:t xml:space="preserve">-</w:t>
      </w:r>
      <w:r>
        <w:t xml:space="preserve"> </w:t>
      </w:r>
      <w:r>
        <w:rPr>
          <w:b/>
        </w:rPr>
        <w:t xml:space="preserve">Company to Employee:</w:t>
      </w:r>
      <w:r>
        <w:t xml:space="preserve"> </w:t>
      </w:r>
      <w:r>
        <w:t xml:space="preserve">30 days’ written notice</w:t>
      </w:r>
      <w:r>
        <w:t xml:space="preserve"> </w:t>
      </w:r>
      <w:r>
        <w:t xml:space="preserve">-</w:t>
      </w:r>
      <w:r>
        <w:t xml:space="preserve"> </w:t>
      </w:r>
      <w:r>
        <w:rPr>
          <w:b/>
        </w:rPr>
        <w:t xml:space="preserve">Employee to Company:</w:t>
      </w:r>
      <w:r>
        <w:t xml:space="preserve"> </w:t>
      </w:r>
      <w:r>
        <w:t xml:space="preserve">30 days’ written notice</w:t>
      </w:r>
    </w:p>
    <w:p>
      <w:pPr>
        <w:pStyle w:val="BodyText"/>
      </w:pPr>
      <w:r>
        <w:t xml:space="preserve">Either party can terminate without assigning reasons, provided 30 days’ notice is given.</w:t>
      </w:r>
    </w:p>
    <w:p>
      <w:pPr>
        <w:pStyle w:val="Heading3"/>
      </w:pPr>
      <w:bookmarkStart w:id="43" w:name="post-probation-notice-period"/>
      <w:r>
        <w:t xml:space="preserve">4.3 Post-Probation Notice Period</w:t>
      </w:r>
      <w:bookmarkEnd w:id="43"/>
    </w:p>
    <w:p>
      <w:pPr>
        <w:pStyle w:val="FirstParagraph"/>
      </w:pPr>
      <w:r>
        <w:rPr>
          <w:b/>
        </w:rPr>
        <w:t xml:space="preserve">After Probation:</w:t>
      </w:r>
      <w:r>
        <w:t xml:space="preserve"> </w:t>
      </w:r>
      <w:r>
        <w:t xml:space="preserve">-</w:t>
      </w:r>
      <w:r>
        <w:t xml:space="preserve"> </w:t>
      </w:r>
      <w:r>
        <w:rPr>
          <w:b/>
        </w:rPr>
        <w:t xml:space="preserve">Company to Employee:</w:t>
      </w:r>
      <w:r>
        <w:t xml:space="preserve"> </w:t>
      </w:r>
      <w:r>
        <w:t xml:space="preserve">90 days’ written notice (or payment in lieu of notice: base salary × 3 months)</w:t>
      </w:r>
      <w:r>
        <w:t xml:space="preserve"> </w:t>
      </w:r>
      <w:r>
        <w:t xml:space="preserve">-</w:t>
      </w:r>
      <w:r>
        <w:t xml:space="preserve"> </w:t>
      </w:r>
      <w:r>
        <w:rPr>
          <w:b/>
        </w:rPr>
        <w:t xml:space="preserve">Employee to Company:</w:t>
      </w:r>
      <w:r>
        <w:t xml:space="preserve"> </w:t>
      </w:r>
      <w:r>
        <w:t xml:space="preserve">90 days’ written notice (or by mutual consent, shorter notice accepted)</w:t>
      </w:r>
    </w:p>
    <w:p>
      <w:r>
        <w:pict>
          <v:rect style="width:0;height:1.5pt" o:hralign="center" o:hrstd="t" o:hr="t"/>
        </w:pict>
      </w:r>
    </w:p>
    <w:p>
      <w:pPr>
        <w:pStyle w:val="Heading2"/>
      </w:pPr>
      <w:bookmarkStart w:id="44" w:name="working-hours-attendance"/>
      <w:r>
        <w:t xml:space="preserve">5. WORKING HOURS &amp; ATTENDANCE</w:t>
      </w:r>
      <w:bookmarkEnd w:id="44"/>
    </w:p>
    <w:p>
      <w:pPr>
        <w:pStyle w:val="Heading3"/>
      </w:pPr>
      <w:bookmarkStart w:id="45" w:name="standard-hours"/>
      <w:r>
        <w:t xml:space="preserve">5.1 Standard Hours</w:t>
      </w:r>
      <w:bookmarkEnd w:id="45"/>
    </w:p>
    <w:p>
      <w:pPr>
        <w:pStyle w:val="FirstParagraph"/>
      </w:pPr>
      <w:r>
        <w:rPr>
          <w:b/>
        </w:rPr>
        <w:t xml:space="preserve">Standard working hours:</w:t>
      </w:r>
      <w:r>
        <w:t xml:space="preserve"> </w:t>
      </w:r>
      <w:r>
        <w:t xml:space="preserve">40 hours per week, typically Monday–Friday, 9:00 AM–6:00 PM IST (with 1-hour lunch break, effectively 8.5 hours/day).</w:t>
      </w:r>
    </w:p>
    <w:p>
      <w:pPr>
        <w:pStyle w:val="BodyText"/>
      </w:pPr>
      <w:r>
        <w:rPr>
          <w:b/>
        </w:rPr>
        <w:t xml:space="preserve">Flexibility:</w:t>
      </w:r>
      <w:r>
        <w:t xml:space="preserve"> </w:t>
      </w:r>
      <w:r>
        <w:t xml:space="preserve">Subject to Manager’s approval, flexi-time or remote work may be negotiated on a case-by-case basis.</w:t>
      </w:r>
    </w:p>
    <w:p>
      <w:pPr>
        <w:pStyle w:val="BodyText"/>
      </w:pPr>
      <w:r>
        <w:rPr>
          <w:b/>
        </w:rPr>
        <w:t xml:space="preserve">Overtime:</w:t>
      </w:r>
      <w:r>
        <w:t xml:space="preserve"> </w:t>
      </w:r>
      <w:r>
        <w:t xml:space="preserve">The Company does not mandate unpaid overtime. Any overtime compensation is decided by management based on project requirements.</w:t>
      </w:r>
    </w:p>
    <w:p>
      <w:pPr>
        <w:pStyle w:val="Heading3"/>
      </w:pPr>
      <w:bookmarkStart w:id="46" w:name="attendance-reporting"/>
      <w:r>
        <w:t xml:space="preserve">5.2 Attendance &amp; Reporting</w:t>
      </w:r>
      <w:bookmarkEnd w:id="46"/>
    </w:p>
    <w:p>
      <w:pPr>
        <w:numPr>
          <w:ilvl w:val="0"/>
          <w:numId w:val="1011"/>
        </w:numPr>
        <w:pStyle w:val="Compact"/>
      </w:pPr>
      <w:r>
        <w:rPr>
          <w:b/>
        </w:rPr>
        <w:t xml:space="preserve">Time Tracking:</w:t>
      </w:r>
      <w:r>
        <w:t xml:space="preserve"> </w:t>
      </w:r>
      <w:r>
        <w:t xml:space="preserve">Attendance is tracked via company systems (RFID badge, biometric, or software).</w:t>
      </w:r>
    </w:p>
    <w:p>
      <w:pPr>
        <w:numPr>
          <w:ilvl w:val="0"/>
          <w:numId w:val="1011"/>
        </w:numPr>
        <w:pStyle w:val="Compact"/>
      </w:pPr>
      <w:r>
        <w:rPr>
          <w:b/>
        </w:rPr>
        <w:t xml:space="preserve">Absence Protocol:</w:t>
      </w:r>
      <w:r>
        <w:t xml:space="preserve"> </w:t>
      </w:r>
      <w:r>
        <w:t xml:space="preserve">Inform your manager by 9:30 AM on the day of absence; follow leave-request procedures for planned leave.</w:t>
      </w:r>
    </w:p>
    <w:p>
      <w:pPr>
        <w:numPr>
          <w:ilvl w:val="0"/>
          <w:numId w:val="1011"/>
        </w:numPr>
        <w:pStyle w:val="Compact"/>
      </w:pPr>
      <w:r>
        <w:rPr>
          <w:b/>
        </w:rPr>
        <w:t xml:space="preserve">Unplanned Absence &gt;2 consecutive days:</w:t>
      </w:r>
      <w:r>
        <w:t xml:space="preserve"> </w:t>
      </w:r>
      <w:r>
        <w:t xml:space="preserve">Requires medical certificate.</w:t>
      </w:r>
    </w:p>
    <w:p>
      <w:r>
        <w:pict>
          <v:rect style="width:0;height:1.5pt" o:hralign="center" o:hrstd="t" o:hr="t"/>
        </w:pict>
      </w:r>
    </w:p>
    <w:p>
      <w:pPr>
        <w:pStyle w:val="Heading2"/>
      </w:pPr>
      <w:bookmarkStart w:id="47" w:name="confidentiality-non-disclosure"/>
      <w:r>
        <w:t xml:space="preserve">6. CONFIDENTIALITY &amp; NON-DISCLOSURE</w:t>
      </w:r>
      <w:bookmarkEnd w:id="47"/>
    </w:p>
    <w:p>
      <w:pPr>
        <w:pStyle w:val="Heading3"/>
      </w:pPr>
      <w:bookmarkStart w:id="48" w:name="confidentiality-obligation"/>
      <w:r>
        <w:t xml:space="preserve">6.1 Confidentiality Obligation</w:t>
      </w:r>
      <w:bookmarkEnd w:id="48"/>
    </w:p>
    <w:p>
      <w:pPr>
        <w:pStyle w:val="FirstParagraph"/>
      </w:pPr>
      <w:r>
        <w:t xml:space="preserve">You acknowledge that during your employment, you will access</w:t>
      </w:r>
      <w:r>
        <w:t xml:space="preserve"> </w:t>
      </w:r>
      <w:r>
        <w:rPr>
          <w:b/>
        </w:rPr>
        <w:t xml:space="preserve">Confidential Information</w:t>
      </w:r>
      <w:r>
        <w:t xml:space="preserve">, including:</w:t>
      </w:r>
    </w:p>
    <w:p>
      <w:pPr>
        <w:numPr>
          <w:ilvl w:val="0"/>
          <w:numId w:val="1012"/>
        </w:numPr>
        <w:pStyle w:val="Compact"/>
      </w:pPr>
      <w:r>
        <w:t xml:space="preserve">QOrium’s question bank, content engine, role-graph taxonomy</w:t>
      </w:r>
    </w:p>
    <w:p>
      <w:pPr>
        <w:numPr>
          <w:ilvl w:val="0"/>
          <w:numId w:val="1012"/>
        </w:numPr>
        <w:pStyle w:val="Compact"/>
      </w:pPr>
      <w:r>
        <w:t xml:space="preserve">Customer data, pricing, contracts</w:t>
      </w:r>
    </w:p>
    <w:p>
      <w:pPr>
        <w:numPr>
          <w:ilvl w:val="0"/>
          <w:numId w:val="1012"/>
        </w:numPr>
        <w:pStyle w:val="Compact"/>
      </w:pPr>
      <w:r>
        <w:t xml:space="preserve">AI prompts, validation rubrics, anti-leak algorithms</w:t>
      </w:r>
    </w:p>
    <w:p>
      <w:pPr>
        <w:numPr>
          <w:ilvl w:val="0"/>
          <w:numId w:val="1012"/>
        </w:numPr>
        <w:pStyle w:val="Compact"/>
      </w:pPr>
      <w:r>
        <w:t xml:space="preserve">Unreleased features, technical specifications</w:t>
      </w:r>
    </w:p>
    <w:p>
      <w:pPr>
        <w:numPr>
          <w:ilvl w:val="0"/>
          <w:numId w:val="1012"/>
        </w:numPr>
        <w:pStyle w:val="Compact"/>
      </w:pPr>
      <w:r>
        <w:t xml:space="preserve">Employee records, financial data</w:t>
      </w:r>
    </w:p>
    <w:p>
      <w:pPr>
        <w:pStyle w:val="FirstParagraph"/>
      </w:pPr>
      <w:r>
        <w:rPr>
          <w:b/>
        </w:rPr>
        <w:t xml:space="preserve">You agree to:</w:t>
      </w:r>
    </w:p>
    <w:p>
      <w:pPr>
        <w:numPr>
          <w:ilvl w:val="0"/>
          <w:numId w:val="1013"/>
        </w:numPr>
        <w:pStyle w:val="Compact"/>
      </w:pPr>
      <w:r>
        <w:t xml:space="preserve">Maintain all Confidential Information in</w:t>
      </w:r>
      <w:r>
        <w:t xml:space="preserve"> </w:t>
      </w:r>
      <w:r>
        <w:rPr>
          <w:b/>
        </w:rPr>
        <w:t xml:space="preserve">strict confidence</w:t>
      </w:r>
      <w:r>
        <w:t xml:space="preserve">.</w:t>
      </w:r>
    </w:p>
    <w:p>
      <w:pPr>
        <w:numPr>
          <w:ilvl w:val="0"/>
          <w:numId w:val="1013"/>
        </w:numPr>
        <w:pStyle w:val="Compact"/>
      </w:pPr>
      <w:r>
        <w:t xml:space="preserve">Not disclose to third parties (family, friends, social media, competitors) without written authorization.</w:t>
      </w:r>
    </w:p>
    <w:p>
      <w:pPr>
        <w:numPr>
          <w:ilvl w:val="0"/>
          <w:numId w:val="1013"/>
        </w:numPr>
        <w:pStyle w:val="Compact"/>
      </w:pPr>
      <w:r>
        <w:t xml:space="preserve">Use Confidential Information</w:t>
      </w:r>
      <w:r>
        <w:t xml:space="preserve"> </w:t>
      </w:r>
      <w:r>
        <w:rPr>
          <w:b/>
        </w:rPr>
        <w:t xml:space="preserve">solely for job duties</w:t>
      </w:r>
      <w:r>
        <w:t xml:space="preserve">.</w:t>
      </w:r>
    </w:p>
    <w:p>
      <w:pPr>
        <w:numPr>
          <w:ilvl w:val="0"/>
          <w:numId w:val="1013"/>
        </w:numPr>
        <w:pStyle w:val="Compact"/>
      </w:pPr>
      <w:r>
        <w:t xml:space="preserve">Return or destroy all confidential materials upon separation (laptop, documents, source code, notes).</w:t>
      </w:r>
    </w:p>
    <w:p>
      <w:pPr>
        <w:pStyle w:val="FirstParagraph"/>
      </w:pPr>
      <w:r>
        <w:rPr>
          <w:b/>
        </w:rPr>
        <w:t xml:space="preserve">Duration:</w:t>
      </w:r>
      <w:r>
        <w:t xml:space="preserve"> </w:t>
      </w:r>
      <w:r>
        <w:t xml:space="preserve">Confidentiality obligations survive your employment and continue for</w:t>
      </w:r>
      <w:r>
        <w:t xml:space="preserve"> </w:t>
      </w:r>
      <w:r>
        <w:rPr>
          <w:b/>
        </w:rPr>
        <w:t xml:space="preserve">3 years post-separation</w:t>
      </w:r>
      <w:r>
        <w:t xml:space="preserve">, except information constituting trade secrets (indefinite).</w:t>
      </w:r>
    </w:p>
    <w:p>
      <w:pPr>
        <w:pStyle w:val="BodyText"/>
      </w:pPr>
      <w:r>
        <w:rPr>
          <w:b/>
        </w:rPr>
        <w:t xml:space="preserve">Penalties for Breach:</w:t>
      </w:r>
      <w:r>
        <w:t xml:space="preserve"> </w:t>
      </w:r>
      <w:r>
        <w:t xml:space="preserve">Unauthorized disclosure may result in:</w:t>
      </w:r>
      <w:r>
        <w:t xml:space="preserve"> </w:t>
      </w:r>
      <w:r>
        <w:t xml:space="preserve">- Immediate termination for cause</w:t>
      </w:r>
      <w:r>
        <w:t xml:space="preserve"> </w:t>
      </w:r>
      <w:r>
        <w:t xml:space="preserve">- Civil damages (injunction, monetary recovery)</w:t>
      </w:r>
      <w:r>
        <w:t xml:space="preserve"> </w:t>
      </w:r>
      <w:r>
        <w:t xml:space="preserve">- Criminal prosecution (if trade secret theft per IPC §379)</w:t>
      </w:r>
    </w:p>
    <w:p>
      <w:r>
        <w:pict>
          <v:rect style="width:0;height:1.5pt" o:hralign="center" o:hrstd="t" o:hr="t"/>
        </w:pict>
      </w:r>
    </w:p>
    <w:p>
      <w:pPr>
        <w:pStyle w:val="Heading2"/>
      </w:pPr>
      <w:bookmarkStart w:id="49" w:name="non-solicitation"/>
      <w:r>
        <w:t xml:space="preserve">7. NON-SOLICITATION</w:t>
      </w:r>
      <w:bookmarkEnd w:id="49"/>
    </w:p>
    <w:p>
      <w:pPr>
        <w:pStyle w:val="Heading3"/>
      </w:pPr>
      <w:bookmarkStart w:id="50" w:name="employee-non-solicitation"/>
      <w:r>
        <w:t xml:space="preserve">7.1 Employee Non-Solicitation</w:t>
      </w:r>
      <w:bookmarkEnd w:id="50"/>
    </w:p>
    <w:p>
      <w:pPr>
        <w:pStyle w:val="FirstParagraph"/>
      </w:pPr>
      <w:r>
        <w:t xml:space="preserve">During your employment and for</w:t>
      </w:r>
      <w:r>
        <w:t xml:space="preserve"> </w:t>
      </w:r>
      <w:r>
        <w:rPr>
          <w:b/>
        </w:rPr>
        <w:t xml:space="preserve">12 months after separation</w:t>
      </w:r>
      <w:r>
        <w:t xml:space="preserve">, you agree not to:</w:t>
      </w:r>
    </w:p>
    <w:p>
      <w:pPr>
        <w:numPr>
          <w:ilvl w:val="0"/>
          <w:numId w:val="1014"/>
        </w:numPr>
        <w:pStyle w:val="Compact"/>
      </w:pPr>
      <w:r>
        <w:rPr>
          <w:b/>
        </w:rPr>
        <w:t xml:space="preserve">Solicit or hire</w:t>
      </w:r>
      <w:r>
        <w:t xml:space="preserve"> </w:t>
      </w:r>
      <w:r>
        <w:t xml:space="preserve">any current QOrium employee to work for you or a competitor.</w:t>
      </w:r>
    </w:p>
    <w:p>
      <w:pPr>
        <w:numPr>
          <w:ilvl w:val="0"/>
          <w:numId w:val="1014"/>
        </w:numPr>
        <w:pStyle w:val="Compact"/>
      </w:pPr>
      <w:r>
        <w:rPr>
          <w:b/>
        </w:rPr>
        <w:t xml:space="preserve">Solicit</w:t>
      </w:r>
      <w:r>
        <w:t xml:space="preserve"> </w:t>
      </w:r>
      <w:r>
        <w:t xml:space="preserve">any customer, prospect, or vendor of QOrium to switch to a competing service.</w:t>
      </w:r>
    </w:p>
    <w:p>
      <w:pPr>
        <w:pStyle w:val="FirstParagraph"/>
      </w:pPr>
      <w:r>
        <w:rPr>
          <w:b/>
        </w:rPr>
        <w:t xml:space="preserve">Scope:</w:t>
      </w:r>
      <w:r>
        <w:t xml:space="preserve"> </w:t>
      </w:r>
      <w:r>
        <w:t xml:space="preserve">Non-solicitation applies within India and globally (if your role has international scope).</w:t>
      </w:r>
    </w:p>
    <w:p>
      <w:pPr>
        <w:pStyle w:val="BodyText"/>
      </w:pPr>
      <w:r>
        <w:rPr>
          <w:b/>
        </w:rPr>
        <w:t xml:space="preserve">Exceptions:</w:t>
      </w:r>
      <w:r>
        <w:t xml:space="preserve"> </w:t>
      </w:r>
      <w:r>
        <w:t xml:space="preserve">- General advertising (job postings not targeted at QOrium employees) are permitted.</w:t>
      </w:r>
      <w:r>
        <w:t xml:space="preserve"> </w:t>
      </w:r>
      <w:r>
        <w:t xml:space="preserve">- Inbound inquiries (if a QOrium employee contacts you about a job) may be engaged.</w:t>
      </w:r>
    </w:p>
    <w:p>
      <w:pPr>
        <w:pStyle w:val="BodyText"/>
      </w:pPr>
      <w:r>
        <w:rPr>
          <w:b/>
        </w:rPr>
        <w:t xml:space="preserve">Enforcement:</w:t>
      </w:r>
      <w:r>
        <w:t xml:space="preserve"> </w:t>
      </w:r>
      <w:r>
        <w:t xml:space="preserve">Breach may result in damages (estimated at 3–6 months’ salary per violating hire/customer defection) and injunction.</w:t>
      </w:r>
    </w:p>
    <w:p>
      <w:r>
        <w:pict>
          <v:rect style="width:0;height:1.5pt" o:hralign="center" o:hrstd="t" o:hr="t"/>
        </w:pict>
      </w:r>
    </w:p>
    <w:p>
      <w:pPr>
        <w:pStyle w:val="Heading2"/>
      </w:pPr>
      <w:bookmarkStart w:id="51" w:name="non-compete"/>
      <w:r>
        <w:t xml:space="preserve">8. NON-COMPETE</w:t>
      </w:r>
      <w:bookmarkEnd w:id="51"/>
    </w:p>
    <w:p>
      <w:pPr>
        <w:pStyle w:val="Heading3"/>
      </w:pPr>
      <w:bookmarkStart w:id="52" w:name="during-employment-strong"/>
      <w:r>
        <w:t xml:space="preserve">8.1 During Employment (Strong)</w:t>
      </w:r>
      <w:bookmarkEnd w:id="52"/>
    </w:p>
    <w:p>
      <w:pPr>
        <w:pStyle w:val="FirstParagraph"/>
      </w:pPr>
      <w:r>
        <w:rPr>
          <w:b/>
        </w:rPr>
        <w:t xml:space="preserve">During your employment with QOrium, you agree not to:</w:t>
      </w:r>
    </w:p>
    <w:p>
      <w:pPr>
        <w:numPr>
          <w:ilvl w:val="0"/>
          <w:numId w:val="1015"/>
        </w:numPr>
        <w:pStyle w:val="Compact"/>
      </w:pPr>
      <w:r>
        <w:t xml:space="preserve">Work for, consult with, or accept equity in a</w:t>
      </w:r>
      <w:r>
        <w:t xml:space="preserve"> </w:t>
      </w:r>
      <w:r>
        <w:rPr>
          <w:b/>
        </w:rPr>
        <w:t xml:space="preserve">direct competitor</w:t>
      </w:r>
      <w:r>
        <w:t xml:space="preserve"> </w:t>
      </w:r>
      <w:r>
        <w:t xml:space="preserve">(defined as any company providing AI-authored assessment questions, JD-specific generation, or stack-based question libraries).</w:t>
      </w:r>
    </w:p>
    <w:p>
      <w:pPr>
        <w:numPr>
          <w:ilvl w:val="0"/>
          <w:numId w:val="1015"/>
        </w:numPr>
        <w:pStyle w:val="Compact"/>
      </w:pPr>
      <w:r>
        <w:t xml:space="preserve">Engage in a competing business or freelance activity related to assessment content.</w:t>
      </w:r>
    </w:p>
    <w:p>
      <w:pPr>
        <w:pStyle w:val="FirstParagraph"/>
      </w:pPr>
      <w:r>
        <w:rPr>
          <w:b/>
        </w:rPr>
        <w:t xml:space="preserve">Scope:</w:t>
      </w:r>
      <w:r>
        <w:t xml:space="preserve"> </w:t>
      </w:r>
      <w:r>
        <w:t xml:space="preserve">Non-compete applies within India; global if your role has international responsibilities.</w:t>
      </w:r>
    </w:p>
    <w:p>
      <w:pPr>
        <w:pStyle w:val="BodyText"/>
      </w:pPr>
      <w:r>
        <w:rPr>
          <w:b/>
        </w:rPr>
        <w:t xml:space="preserve">Exceptions:</w:t>
      </w:r>
      <w:r>
        <w:t xml:space="preserve"> </w:t>
      </w:r>
      <w:r>
        <w:t xml:space="preserve">- Personal projects or passive investments (approved by CEO) unrelated to assessment</w:t>
      </w:r>
      <w:r>
        <w:t xml:space="preserve"> </w:t>
      </w:r>
      <w:r>
        <w:t xml:space="preserve">- Prior commitments disclosed at hiring (e.g., advisory board role) remain allowed if they don’t interfere with QOrium duties</w:t>
      </w:r>
    </w:p>
    <w:p>
      <w:pPr>
        <w:pStyle w:val="BodyText"/>
      </w:pPr>
      <w:r>
        <w:rPr>
          <w:b/>
        </w:rPr>
        <w:t xml:space="preserve">Breach during employment:</w:t>
      </w:r>
      <w:r>
        <w:t xml:space="preserve"> </w:t>
      </w:r>
      <w:r>
        <w:t xml:space="preserve">Grounds for immediate termination for cause (no severance).</w:t>
      </w:r>
    </w:p>
    <w:p>
      <w:pPr>
        <w:pStyle w:val="Heading3"/>
      </w:pPr>
      <w:bookmarkStart w:id="53" w:name="post-employment-reasonable-limited-scope"/>
      <w:r>
        <w:t xml:space="preserve">8.2 Post-Employment (Reasonable, Limited Scope)</w:t>
      </w:r>
      <w:bookmarkEnd w:id="53"/>
    </w:p>
    <w:p>
      <w:pPr>
        <w:pStyle w:val="FirstParagraph"/>
      </w:pPr>
      <w:r>
        <w:rPr>
          <w:b/>
        </w:rPr>
        <w:t xml:space="preserve">Indian employment law generally renders post-employment non-competes unenforceable</w:t>
      </w:r>
      <w:r>
        <w:t xml:space="preserve"> </w:t>
      </w:r>
      <w:r>
        <w:t xml:space="preserve">unless they meet the</w:t>
      </w:r>
      <w:r>
        <w:t xml:space="preserve"> </w:t>
      </w:r>
      <w:r>
        <w:t xml:space="preserve">“</w:t>
      </w:r>
      <w:r>
        <w:t xml:space="preserve">reasonable restriction</w:t>
      </w:r>
      <w:r>
        <w:t xml:space="preserve">”</w:t>
      </w:r>
      <w:r>
        <w:t xml:space="preserve"> </w:t>
      </w:r>
      <w:r>
        <w:t xml:space="preserve">test (per the Indian Contract Act, §27). To maximize enforceability:</w:t>
      </w:r>
    </w:p>
    <w:p>
      <w:pPr>
        <w:pStyle w:val="BodyText"/>
      </w:pPr>
      <w:r>
        <w:rPr>
          <w:b/>
        </w:rPr>
        <w:t xml:space="preserve">We request, but do not mandate, that you avoid:</w:t>
      </w:r>
    </w:p>
    <w:p>
      <w:pPr>
        <w:numPr>
          <w:ilvl w:val="0"/>
          <w:numId w:val="1016"/>
        </w:numPr>
        <w:pStyle w:val="Compact"/>
      </w:pPr>
      <w:r>
        <w:t xml:space="preserve">Joining a direct competitor for</w:t>
      </w:r>
      <w:r>
        <w:t xml:space="preserve"> </w:t>
      </w:r>
      <w:r>
        <w:rPr>
          <w:b/>
        </w:rPr>
        <w:t xml:space="preserve">6 months post-separation</w:t>
      </w:r>
      <w:r>
        <w:t xml:space="preserve"> </w:t>
      </w:r>
      <w:r>
        <w:t xml:space="preserve">(not 1 year, to be reasonable).</w:t>
      </w:r>
    </w:p>
    <w:p>
      <w:pPr>
        <w:numPr>
          <w:ilvl w:val="0"/>
          <w:numId w:val="1016"/>
        </w:numPr>
        <w:pStyle w:val="Compact"/>
      </w:pPr>
      <w:r>
        <w:t xml:space="preserve">Soliciting QOrium customers to the competitor for</w:t>
      </w:r>
      <w:r>
        <w:t xml:space="preserve"> </w:t>
      </w:r>
      <w:r>
        <w:rPr>
          <w:b/>
        </w:rPr>
        <w:t xml:space="preserve">12 months</w:t>
      </w:r>
      <w:r>
        <w:t xml:space="preserve"> </w:t>
      </w:r>
      <w:r>
        <w:t xml:space="preserve">(covered separately in §7).</w:t>
      </w:r>
    </w:p>
    <w:p>
      <w:pPr>
        <w:pStyle w:val="FirstParagraph"/>
      </w:pPr>
      <w:r>
        <w:rPr>
          <w:b/>
        </w:rPr>
        <w:t xml:space="preserve">This is a non-binding request.</w:t>
      </w:r>
      <w:r>
        <w:t xml:space="preserve"> </w:t>
      </w:r>
      <w:r>
        <w:t xml:space="preserve">You are legally free to work for a competitor post-separation unless Customer agreement, equity agreements, or non-solicitation clauses (which are enforceable) are breached.</w:t>
      </w:r>
    </w:p>
    <w:p>
      <w:pPr>
        <w:pStyle w:val="BodyText"/>
      </w:pPr>
      <w:r>
        <w:rPr>
          <w:b/>
        </w:rPr>
        <w:t xml:space="preserve">Recommendation:</w:t>
      </w:r>
      <w:r>
        <w:t xml:space="preserve"> </w:t>
      </w:r>
      <w:r>
        <w:t xml:space="preserve">Consult your legal advisor regarding your obligations to prior employers or equity holders.</w:t>
      </w:r>
    </w:p>
    <w:p>
      <w:r>
        <w:pict>
          <v:rect style="width:0;height:1.5pt" o:hralign="center" o:hrstd="t" o:hr="t"/>
        </w:pict>
      </w:r>
    </w:p>
    <w:p>
      <w:pPr>
        <w:pStyle w:val="Heading2"/>
      </w:pPr>
      <w:bookmarkStart w:id="54" w:name="intellectual-property-ip-assignment"/>
      <w:r>
        <w:t xml:space="preserve">9. INTELLECTUAL PROPERTY (IP) ASSIGNMENT</w:t>
      </w:r>
      <w:bookmarkEnd w:id="54"/>
    </w:p>
    <w:p>
      <w:pPr>
        <w:pStyle w:val="Heading3"/>
      </w:pPr>
      <w:bookmarkStart w:id="55" w:name="assignment-of-work-product"/>
      <w:r>
        <w:t xml:space="preserve">9.1 Assignment of Work Product</w:t>
      </w:r>
      <w:bookmarkEnd w:id="55"/>
    </w:p>
    <w:p>
      <w:pPr>
        <w:pStyle w:val="FirstParagraph"/>
      </w:pPr>
      <w:r>
        <w:rPr>
          <w:b/>
        </w:rPr>
        <w:t xml:space="preserve">All IP created, developed, or discovered during your employment, whether or not during working hours, is owned by QOrium</w:t>
      </w:r>
      <w:r>
        <w:t xml:space="preserve">, including:</w:t>
      </w:r>
    </w:p>
    <w:p>
      <w:pPr>
        <w:numPr>
          <w:ilvl w:val="0"/>
          <w:numId w:val="1017"/>
        </w:numPr>
        <w:pStyle w:val="Compact"/>
      </w:pPr>
      <w:r>
        <w:t xml:space="preserve">Code, scripts, algorithms</w:t>
      </w:r>
    </w:p>
    <w:p>
      <w:pPr>
        <w:numPr>
          <w:ilvl w:val="0"/>
          <w:numId w:val="1017"/>
        </w:numPr>
        <w:pStyle w:val="Compact"/>
      </w:pPr>
      <w:r>
        <w:t xml:space="preserve">Questions, rubrics, training materials</w:t>
      </w:r>
    </w:p>
    <w:p>
      <w:pPr>
        <w:numPr>
          <w:ilvl w:val="0"/>
          <w:numId w:val="1017"/>
        </w:numPr>
        <w:pStyle w:val="Compact"/>
      </w:pPr>
      <w:r>
        <w:t xml:space="preserve">Documentation, diagrams, whitepapers</w:t>
      </w:r>
    </w:p>
    <w:p>
      <w:pPr>
        <w:numPr>
          <w:ilvl w:val="0"/>
          <w:numId w:val="1017"/>
        </w:numPr>
        <w:pStyle w:val="Compact"/>
      </w:pPr>
      <w:r>
        <w:t xml:space="preserve">Process improvements, systems designs</w:t>
      </w:r>
    </w:p>
    <w:p>
      <w:pPr>
        <w:numPr>
          <w:ilvl w:val="0"/>
          <w:numId w:val="1017"/>
        </w:numPr>
        <w:pStyle w:val="Compact"/>
      </w:pPr>
      <w:r>
        <w:t xml:space="preserve">Any derivative work based on Company IP</w:t>
      </w:r>
    </w:p>
    <w:p>
      <w:pPr>
        <w:pStyle w:val="FirstParagraph"/>
      </w:pPr>
      <w:r>
        <w:rPr>
          <w:b/>
        </w:rPr>
        <w:t xml:space="preserve">Scope:</w:t>
      </w:r>
      <w:r>
        <w:t xml:space="preserve"> </w:t>
      </w:r>
      <w:r>
        <w:t xml:space="preserve">Assignment covers work related to QOrium’s business (assessment content, tooling, infrastructure) and applies even if work is done on personal equipment or after hours.</w:t>
      </w:r>
    </w:p>
    <w:p>
      <w:pPr>
        <w:pStyle w:val="BodyText"/>
      </w:pPr>
      <w:r>
        <w:rPr>
          <w:b/>
        </w:rPr>
        <w:t xml:space="preserve">Company Assignment:</w:t>
      </w:r>
      <w:r>
        <w:t xml:space="preserve"> </w:t>
      </w:r>
      <w:r>
        <w:t xml:space="preserve">You irrevocably assign all IP rights to QOrium upon creation. Company owns copyright, patents, trade secrets, and all moral rights (where applicable).</w:t>
      </w:r>
    </w:p>
    <w:p>
      <w:pPr>
        <w:pStyle w:val="Heading3"/>
      </w:pPr>
      <w:bookmarkStart w:id="56" w:name="prior-ip-exclusion-list"/>
      <w:r>
        <w:t xml:space="preserve">9.2 Prior IP Exclusion List</w:t>
      </w:r>
      <w:bookmarkEnd w:id="56"/>
    </w:p>
    <w:p>
      <w:pPr>
        <w:pStyle w:val="FirstParagraph"/>
      </w:pPr>
      <w:r>
        <w:rPr>
          <w:b/>
        </w:rPr>
        <w:t xml:space="preserve">Exception:</w:t>
      </w:r>
      <w:r>
        <w:t xml:space="preserve"> </w:t>
      </w:r>
      <w:r>
        <w:t xml:space="preserve">If you have prior inventions, patents, or projects created</w:t>
      </w:r>
      <w:r>
        <w:t xml:space="preserve"> </w:t>
      </w:r>
      <w:r>
        <w:rPr>
          <w:b/>
        </w:rPr>
        <w:t xml:space="preserve">before joining QOrium</w:t>
      </w:r>
      <w:r>
        <w:t xml:space="preserve">, you may exclude them from assignment, provided:</w:t>
      </w:r>
    </w:p>
    <w:p>
      <w:pPr>
        <w:numPr>
          <w:ilvl w:val="0"/>
          <w:numId w:val="1018"/>
        </w:numPr>
        <w:pStyle w:val="Compact"/>
      </w:pPr>
      <w:r>
        <w:t xml:space="preserve">You complete and submit</w:t>
      </w:r>
      <w:r>
        <w:t xml:space="preserve"> </w:t>
      </w:r>
      <w:r>
        <w:rPr>
          <w:b/>
        </w:rPr>
        <w:t xml:space="preserve">Appendix A (Prior IP Exclusion List)</w:t>
      </w:r>
      <w:r>
        <w:t xml:space="preserve"> </w:t>
      </w:r>
      <w:r>
        <w:t xml:space="preserve">at the time of joining.</w:t>
      </w:r>
    </w:p>
    <w:p>
      <w:pPr>
        <w:numPr>
          <w:ilvl w:val="0"/>
          <w:numId w:val="1018"/>
        </w:numPr>
        <w:pStyle w:val="Compact"/>
      </w:pPr>
      <w:r>
        <w:t xml:space="preserve">The excluded IP is clearly documented and does</w:t>
      </w:r>
      <w:r>
        <w:t xml:space="preserve"> </w:t>
      </w:r>
      <w:r>
        <w:rPr>
          <w:b/>
        </w:rPr>
        <w:t xml:space="preserve">not</w:t>
      </w:r>
      <w:r>
        <w:t xml:space="preserve"> </w:t>
      </w:r>
      <w:r>
        <w:t xml:space="preserve">use QOrium code, prompts, or confidential information.</w:t>
      </w:r>
    </w:p>
    <w:p>
      <w:pPr>
        <w:numPr>
          <w:ilvl w:val="0"/>
          <w:numId w:val="1018"/>
        </w:numPr>
        <w:pStyle w:val="Compact"/>
      </w:pPr>
      <w:r>
        <w:t xml:space="preserve">The excluded IP is</w:t>
      </w:r>
      <w:r>
        <w:t xml:space="preserve"> </w:t>
      </w:r>
      <w:r>
        <w:rPr>
          <w:b/>
        </w:rPr>
        <w:t xml:space="preserve">unrelated to assessment content</w:t>
      </w:r>
      <w:r>
        <w:t xml:space="preserve"> </w:t>
      </w:r>
      <w:r>
        <w:t xml:space="preserve">(e.g., personal mobile app, open-source library is okay; prior assessment-question repository is not).</w:t>
      </w:r>
    </w:p>
    <w:p>
      <w:pPr>
        <w:pStyle w:val="FirstParagraph"/>
      </w:pPr>
      <w:r>
        <w:t xml:space="preserve">Failure to disclose prior IP at joining constitutes consent to assignment to QOrium.</w:t>
      </w:r>
    </w:p>
    <w:p>
      <w:pPr>
        <w:pStyle w:val="Heading3"/>
      </w:pPr>
      <w:bookmarkStart w:id="57" w:name="moral-rights-waiver-if-applicable"/>
      <w:r>
        <w:t xml:space="preserve">9.3 Moral Rights Waiver (if applicable)</w:t>
      </w:r>
      <w:bookmarkEnd w:id="57"/>
    </w:p>
    <w:p>
      <w:pPr>
        <w:pStyle w:val="FirstParagraph"/>
      </w:pPr>
      <w:r>
        <w:t xml:space="preserve">To the extent permitted by law, you waive any</w:t>
      </w:r>
      <w:r>
        <w:t xml:space="preserve"> </w:t>
      </w:r>
      <w:r>
        <w:rPr>
          <w:b/>
        </w:rPr>
        <w:t xml:space="preserve">moral rights</w:t>
      </w:r>
      <w:r>
        <w:t xml:space="preserve"> </w:t>
      </w:r>
      <w:r>
        <w:t xml:space="preserve">(right of attribution, right to object to derogatory treatment) in works created for QOrium. QOrium may modify, publish, or relicense your work without attribution or your consent.</w:t>
      </w:r>
    </w:p>
    <w:p>
      <w:pPr>
        <w:pStyle w:val="Heading3"/>
      </w:pPr>
      <w:bookmarkStart w:id="58" w:name="patent-cooperation"/>
      <w:r>
        <w:t xml:space="preserve">9.4 Patent Cooperation</w:t>
      </w:r>
      <w:bookmarkEnd w:id="58"/>
    </w:p>
    <w:p>
      <w:pPr>
        <w:pStyle w:val="FirstParagraph"/>
      </w:pPr>
      <w:r>
        <w:t xml:space="preserve">If during your employment you conceive of a potentially patentable invention related to QOrium’s business:</w:t>
      </w:r>
    </w:p>
    <w:p>
      <w:pPr>
        <w:numPr>
          <w:ilvl w:val="0"/>
          <w:numId w:val="1019"/>
        </w:numPr>
        <w:pStyle w:val="Compact"/>
      </w:pPr>
      <w:r>
        <w:t xml:space="preserve">You shall promptly disclose it in writing to the CTO.</w:t>
      </w:r>
    </w:p>
    <w:p>
      <w:pPr>
        <w:numPr>
          <w:ilvl w:val="0"/>
          <w:numId w:val="1019"/>
        </w:numPr>
        <w:pStyle w:val="Compact"/>
      </w:pPr>
      <w:r>
        <w:t xml:space="preserve">QOrium may elect to file a patent application; Company bears costs.</w:t>
      </w:r>
    </w:p>
    <w:p>
      <w:pPr>
        <w:numPr>
          <w:ilvl w:val="0"/>
          <w:numId w:val="1019"/>
        </w:numPr>
        <w:pStyle w:val="Compact"/>
      </w:pPr>
      <w:r>
        <w:t xml:space="preserve">If Company files, Company is the patent owner; you are named as inventor (for patent office records).</w:t>
      </w:r>
    </w:p>
    <w:p>
      <w:pPr>
        <w:numPr>
          <w:ilvl w:val="0"/>
          <w:numId w:val="1019"/>
        </w:numPr>
        <w:pStyle w:val="Compact"/>
      </w:pPr>
      <w:r>
        <w:t xml:space="preserve">If Company declines to file within 60 days, IP reverts to you (except for trade secrets, which remain Company property).</w:t>
      </w:r>
    </w:p>
    <w:p>
      <w:r>
        <w:pict>
          <v:rect style="width:0;height:1.5pt" o:hralign="center" o:hrstd="t" o:hr="t"/>
        </w:pict>
      </w:r>
    </w:p>
    <w:p>
      <w:pPr>
        <w:pStyle w:val="Heading2"/>
      </w:pPr>
      <w:bookmarkStart w:id="59" w:name="code-of-conduct-policy-compliance"/>
      <w:r>
        <w:t xml:space="preserve">10. CODE OF CONDUCT &amp; POLICY COMPLIANCE</w:t>
      </w:r>
      <w:bookmarkEnd w:id="59"/>
    </w:p>
    <w:p>
      <w:pPr>
        <w:pStyle w:val="Heading3"/>
      </w:pPr>
      <w:bookmarkStart w:id="60" w:name="conduct-standards"/>
      <w:r>
        <w:t xml:space="preserve">10.1 Conduct Standards</w:t>
      </w:r>
      <w:bookmarkEnd w:id="60"/>
    </w:p>
    <w:p>
      <w:pPr>
        <w:pStyle w:val="FirstParagraph"/>
      </w:pPr>
      <w:r>
        <w:t xml:space="preserve">You are expected to:</w:t>
      </w:r>
    </w:p>
    <w:p>
      <w:pPr>
        <w:numPr>
          <w:ilvl w:val="0"/>
          <w:numId w:val="1020"/>
        </w:numPr>
        <w:pStyle w:val="Compact"/>
      </w:pPr>
      <w:r>
        <w:rPr>
          <w:b/>
        </w:rPr>
        <w:t xml:space="preserve">Comply with all laws</w:t>
      </w:r>
      <w:r>
        <w:t xml:space="preserve"> </w:t>
      </w:r>
      <w:r>
        <w:t xml:space="preserve">— no illegal activity, fraud, or gross misconduct.</w:t>
      </w:r>
    </w:p>
    <w:p>
      <w:pPr>
        <w:numPr>
          <w:ilvl w:val="0"/>
          <w:numId w:val="1020"/>
        </w:numPr>
        <w:pStyle w:val="Compact"/>
      </w:pPr>
      <w:r>
        <w:rPr>
          <w:b/>
        </w:rPr>
        <w:t xml:space="preserve">Maintain professional conduct</w:t>
      </w:r>
      <w:r>
        <w:t xml:space="preserve"> </w:t>
      </w:r>
      <w:r>
        <w:t xml:space="preserve">— respectful workplace, no harassment, discrimination, or bullying.</w:t>
      </w:r>
    </w:p>
    <w:p>
      <w:pPr>
        <w:numPr>
          <w:ilvl w:val="0"/>
          <w:numId w:val="1020"/>
        </w:numPr>
        <w:pStyle w:val="Compact"/>
      </w:pPr>
      <w:r>
        <w:rPr>
          <w:b/>
        </w:rPr>
        <w:t xml:space="preserve">Avoid conflicts of interest</w:t>
      </w:r>
      <w:r>
        <w:t xml:space="preserve"> </w:t>
      </w:r>
      <w:r>
        <w:t xml:space="preserve">— disclose any financial interest, family relationship, or side business that could conflict with QOrium.</w:t>
      </w:r>
    </w:p>
    <w:p>
      <w:pPr>
        <w:numPr>
          <w:ilvl w:val="0"/>
          <w:numId w:val="1020"/>
        </w:numPr>
        <w:pStyle w:val="Compact"/>
      </w:pPr>
      <w:r>
        <w:rPr>
          <w:b/>
        </w:rPr>
        <w:t xml:space="preserve">Protect company assets</w:t>
      </w:r>
      <w:r>
        <w:t xml:space="preserve"> </w:t>
      </w:r>
      <w:r>
        <w:t xml:space="preserve">— no theft, unauthorized use, or negligent damage to company property (equipment, data, IP).</w:t>
      </w:r>
    </w:p>
    <w:p>
      <w:pPr>
        <w:numPr>
          <w:ilvl w:val="0"/>
          <w:numId w:val="1020"/>
        </w:numPr>
        <w:pStyle w:val="Compact"/>
      </w:pPr>
      <w:r>
        <w:rPr>
          <w:b/>
        </w:rPr>
        <w:t xml:space="preserve">No substance abuse</w:t>
      </w:r>
      <w:r>
        <w:t xml:space="preserve"> </w:t>
      </w:r>
      <w:r>
        <w:t xml:space="preserve">— intoxication at work or possession of illegal drugs is grounds for termination.</w:t>
      </w:r>
    </w:p>
    <w:p>
      <w:pPr>
        <w:pStyle w:val="FirstParagraph"/>
      </w:pPr>
      <w:r>
        <w:rPr>
          <w:b/>
        </w:rPr>
        <w:t xml:space="preserve">Enforcement:</w:t>
      </w:r>
      <w:r>
        <w:t xml:space="preserve"> </w:t>
      </w:r>
      <w:r>
        <w:t xml:space="preserve">Violations may result in warnings, suspension, or termination for cause (no severance).</w:t>
      </w:r>
    </w:p>
    <w:p>
      <w:pPr>
        <w:pStyle w:val="Heading3"/>
      </w:pPr>
      <w:bookmarkStart w:id="61" w:name="X23cb1b888b16abf29eaa617a99088ec76618887"/>
      <w:r>
        <w:t xml:space="preserve">10.2 Prevention of Sexual Harassment (POSH) &amp; Diversity</w:t>
      </w:r>
      <w:bookmarkEnd w:id="61"/>
    </w:p>
    <w:p>
      <w:pPr>
        <w:pStyle w:val="FirstParagraph"/>
      </w:pPr>
      <w:r>
        <w:t xml:space="preserve">The Company has constituted an</w:t>
      </w:r>
      <w:r>
        <w:t xml:space="preserve"> </w:t>
      </w:r>
      <w:r>
        <w:rPr>
          <w:b/>
        </w:rPr>
        <w:t xml:space="preserve">Internal Committee (IC)</w:t>
      </w:r>
      <w:r>
        <w:t xml:space="preserve"> </w:t>
      </w:r>
      <w:r>
        <w:t xml:space="preserve">to prevent, investigate, and remedy sexual harassment in the workplace per the</w:t>
      </w:r>
      <w:r>
        <w:t xml:space="preserve"> </w:t>
      </w:r>
      <w:r>
        <w:rPr>
          <w:b/>
        </w:rPr>
        <w:t xml:space="preserve">Sexual Harassment of Women at Workplace (Prevention, Prohibition and Redressal) Act, 2013 (POSH Act)</w:t>
      </w:r>
      <w:r>
        <w:t xml:space="preserve">.</w:t>
      </w:r>
    </w:p>
    <w:p>
      <w:pPr>
        <w:pStyle w:val="BodyText"/>
      </w:pPr>
      <w:r>
        <w:rPr>
          <w:b/>
        </w:rPr>
        <w:t xml:space="preserve">Complaint Process:</w:t>
      </w:r>
    </w:p>
    <w:p>
      <w:pPr>
        <w:numPr>
          <w:ilvl w:val="0"/>
          <w:numId w:val="1021"/>
        </w:numPr>
        <w:pStyle w:val="Compact"/>
      </w:pPr>
      <w:r>
        <w:t xml:space="preserve">Report to your manager, HR, or the IC Chair.</w:t>
      </w:r>
    </w:p>
    <w:p>
      <w:pPr>
        <w:numPr>
          <w:ilvl w:val="0"/>
          <w:numId w:val="1021"/>
        </w:numPr>
        <w:pStyle w:val="Compact"/>
      </w:pPr>
      <w:r>
        <w:t xml:space="preserve">IC investigates within 90 days (confidentially).</w:t>
      </w:r>
    </w:p>
    <w:p>
      <w:pPr>
        <w:numPr>
          <w:ilvl w:val="0"/>
          <w:numId w:val="1021"/>
        </w:numPr>
        <w:pStyle w:val="Compact"/>
      </w:pPr>
      <w:r>
        <w:t xml:space="preserve">IC issues report with findings and recommendations.</w:t>
      </w:r>
    </w:p>
    <w:p>
      <w:pPr>
        <w:numPr>
          <w:ilvl w:val="0"/>
          <w:numId w:val="1021"/>
        </w:numPr>
        <w:pStyle w:val="Compact"/>
      </w:pPr>
      <w:r>
        <w:t xml:space="preserve">Company implements corrective measures (up to and including termination).</w:t>
      </w:r>
    </w:p>
    <w:p>
      <w:pPr>
        <w:numPr>
          <w:ilvl w:val="0"/>
          <w:numId w:val="1021"/>
        </w:numPr>
        <w:pStyle w:val="Compact"/>
      </w:pPr>
      <w:r>
        <w:t xml:space="preserve">No retaliation against complainants or witnesses.</w:t>
      </w:r>
    </w:p>
    <w:p>
      <w:pPr>
        <w:pStyle w:val="FirstParagraph"/>
      </w:pPr>
      <w:r>
        <w:rPr>
          <w:b/>
        </w:rPr>
        <w:t xml:space="preserve">IC Contact:</w:t>
      </w:r>
      <w:r>
        <w:t xml:space="preserve"> </w:t>
      </w:r>
      <w:r>
        <w:rPr>
          <w:rStyle w:val="VerbatimChar"/>
        </w:rPr>
        <w:t xml:space="preserve">[IC Chair Name]</w:t>
      </w:r>
      <w:r>
        <w:t xml:space="preserve">,</w:t>
      </w:r>
      <w:r>
        <w:t xml:space="preserve"> </w:t>
      </w:r>
      <w:r>
        <w:rPr>
          <w:rStyle w:val="VerbatimChar"/>
        </w:rPr>
        <w:t xml:space="preserve">[IC Email]</w:t>
      </w:r>
      <w:r>
        <w:t xml:space="preserve">,</w:t>
      </w:r>
      <w:r>
        <w:t xml:space="preserve"> </w:t>
      </w:r>
      <w:r>
        <w:rPr>
          <w:rStyle w:val="VerbatimChar"/>
        </w:rPr>
        <w:t xml:space="preserve">[Phone]</w:t>
      </w:r>
    </w:p>
    <w:p>
      <w:r>
        <w:pict>
          <v:rect style="width:0;height:1.5pt" o:hralign="center" o:hrstd="t" o:hr="t"/>
        </w:pict>
      </w:r>
    </w:p>
    <w:p>
      <w:pPr>
        <w:pStyle w:val="Heading2"/>
      </w:pPr>
      <w:bookmarkStart w:id="62" w:name="termination-severance"/>
      <w:r>
        <w:t xml:space="preserve">11. TERMINATION &amp; SEVERANCE</w:t>
      </w:r>
      <w:bookmarkEnd w:id="62"/>
    </w:p>
    <w:p>
      <w:pPr>
        <w:pStyle w:val="Heading3"/>
      </w:pPr>
      <w:bookmarkStart w:id="63" w:name="termination-for-cause"/>
      <w:r>
        <w:t xml:space="preserve">11.1 Termination for Cause</w:t>
      </w:r>
      <w:bookmarkEnd w:id="63"/>
    </w:p>
    <w:p>
      <w:pPr>
        <w:pStyle w:val="FirstParagraph"/>
      </w:pPr>
      <w:r>
        <w:t xml:space="preserve">The Company may terminate your employment</w:t>
      </w:r>
      <w:r>
        <w:t xml:space="preserve"> </w:t>
      </w:r>
      <w:r>
        <w:rPr>
          <w:b/>
        </w:rPr>
        <w:t xml:space="preserve">immediately, without notice, for cause</w:t>
      </w:r>
      <w:r>
        <w:t xml:space="preserve">, including:</w:t>
      </w:r>
    </w:p>
    <w:p>
      <w:pPr>
        <w:numPr>
          <w:ilvl w:val="0"/>
          <w:numId w:val="1022"/>
        </w:numPr>
        <w:pStyle w:val="Compact"/>
      </w:pPr>
      <w:r>
        <w:rPr>
          <w:b/>
        </w:rPr>
        <w:t xml:space="preserve">Gross misconduct:</w:t>
      </w:r>
      <w:r>
        <w:t xml:space="preserve"> </w:t>
      </w:r>
      <w:r>
        <w:t xml:space="preserve">Theft, fraud, dishonesty, violence</w:t>
      </w:r>
    </w:p>
    <w:p>
      <w:pPr>
        <w:numPr>
          <w:ilvl w:val="0"/>
          <w:numId w:val="1022"/>
        </w:numPr>
        <w:pStyle w:val="Compact"/>
      </w:pPr>
      <w:r>
        <w:rPr>
          <w:b/>
        </w:rPr>
        <w:t xml:space="preserve">Breach of confidentiality:</w:t>
      </w:r>
      <w:r>
        <w:t xml:space="preserve"> </w:t>
      </w:r>
      <w:r>
        <w:t xml:space="preserve">Unauthorized disclosure of Confidential Information</w:t>
      </w:r>
    </w:p>
    <w:p>
      <w:pPr>
        <w:numPr>
          <w:ilvl w:val="0"/>
          <w:numId w:val="1022"/>
        </w:numPr>
        <w:pStyle w:val="Compact"/>
      </w:pPr>
      <w:r>
        <w:rPr>
          <w:b/>
        </w:rPr>
        <w:t xml:space="preserve">IP theft:</w:t>
      </w:r>
      <w:r>
        <w:t xml:space="preserve"> </w:t>
      </w:r>
      <w:r>
        <w:t xml:space="preserve">Taking Company code, questions, or other IP without authorization</w:t>
      </w:r>
    </w:p>
    <w:p>
      <w:pPr>
        <w:numPr>
          <w:ilvl w:val="0"/>
          <w:numId w:val="1022"/>
        </w:numPr>
        <w:pStyle w:val="Compact"/>
      </w:pPr>
      <w:r>
        <w:rPr>
          <w:b/>
        </w:rPr>
        <w:t xml:space="preserve">Repeated policy violations:</w:t>
      </w:r>
      <w:r>
        <w:t xml:space="preserve"> </w:t>
      </w:r>
      <w:r>
        <w:t xml:space="preserve">Chronic attendance issues, insubordination, regulatory violations</w:t>
      </w:r>
    </w:p>
    <w:p>
      <w:pPr>
        <w:numPr>
          <w:ilvl w:val="0"/>
          <w:numId w:val="1022"/>
        </w:numPr>
        <w:pStyle w:val="Compact"/>
      </w:pPr>
      <w:r>
        <w:rPr>
          <w:b/>
        </w:rPr>
        <w:t xml:space="preserve">Incompetence:</w:t>
      </w:r>
      <w:r>
        <w:t xml:space="preserve"> </w:t>
      </w:r>
      <w:r>
        <w:t xml:space="preserve">Failure to meet minimum job requirements after performance improvement plan</w:t>
      </w:r>
    </w:p>
    <w:p>
      <w:pPr>
        <w:pStyle w:val="FirstParagraph"/>
      </w:pPr>
      <w:r>
        <w:rPr>
          <w:b/>
        </w:rPr>
        <w:t xml:space="preserve">Severance for Cause:</w:t>
      </w:r>
      <w:r>
        <w:t xml:space="preserve"> </w:t>
      </w:r>
      <w:r>
        <w:rPr>
          <w:b/>
        </w:rPr>
        <w:t xml:space="preserve">Zero severance.</w:t>
      </w:r>
      <w:r>
        <w:t xml:space="preserve"> </w:t>
      </w:r>
      <w:r>
        <w:t xml:space="preserve">Final payment includes earned salary + accrued leave (no bonus or gratuity if termination is for gross misconduct).</w:t>
      </w:r>
    </w:p>
    <w:p>
      <w:pPr>
        <w:pStyle w:val="Heading3"/>
      </w:pPr>
      <w:bookmarkStart w:id="64" w:name="X1cbf63cdbb8dc67257c568bc8fa512b054e8e8d"/>
      <w:r>
        <w:t xml:space="preserve">11.2 Termination without Cause (Redundancy, Restructure)</w:t>
      </w:r>
      <w:bookmarkEnd w:id="64"/>
    </w:p>
    <w:p>
      <w:pPr>
        <w:pStyle w:val="FirstParagraph"/>
      </w:pPr>
      <w:r>
        <w:t xml:space="preserve">If the Company terminates your employment</w:t>
      </w:r>
      <w:r>
        <w:t xml:space="preserve"> </w:t>
      </w:r>
      <w:r>
        <w:rPr>
          <w:b/>
        </w:rPr>
        <w:t xml:space="preserve">without cause</w:t>
      </w:r>
      <w:r>
        <w:t xml:space="preserve"> </w:t>
      </w:r>
      <w:r>
        <w:t xml:space="preserve">(business downsizing, role elimination, restructure):</w:t>
      </w:r>
    </w:p>
    <w:p>
      <w:pPr>
        <w:pStyle w:val="BodyText"/>
      </w:pPr>
      <w:r>
        <w:rPr>
          <w:b/>
        </w:rPr>
        <w:t xml:space="preserve">Notice:</w:t>
      </w:r>
      <w:r>
        <w:t xml:space="preserve"> </w:t>
      </w:r>
      <w:r>
        <w:t xml:space="preserve">90 days’ written notice (or 3 months’ salary in lieu of notice).</w:t>
      </w:r>
    </w:p>
    <w:p>
      <w:pPr>
        <w:pStyle w:val="BodyText"/>
      </w:pPr>
      <w:r>
        <w:rPr>
          <w:b/>
        </w:rPr>
        <w:t xml:space="preserve">Severance:</w:t>
      </w:r>
      <w:r>
        <w:t xml:space="preserve"> </w:t>
      </w:r>
      <w:r>
        <w:t xml:space="preserve">-</w:t>
      </w:r>
      <w:r>
        <w:t xml:space="preserve"> </w:t>
      </w:r>
      <w:r>
        <w:rPr>
          <w:b/>
        </w:rPr>
        <w:t xml:space="preserve">Accrued salary:</w:t>
      </w:r>
      <w:r>
        <w:t xml:space="preserve"> </w:t>
      </w:r>
      <w:r>
        <w:t xml:space="preserve">Paid through notice period (or lump-sum if notice is waived).</w:t>
      </w:r>
      <w:r>
        <w:t xml:space="preserve"> </w:t>
      </w:r>
      <w:r>
        <w:t xml:space="preserve">-</w:t>
      </w:r>
      <w:r>
        <w:t xml:space="preserve"> </w:t>
      </w:r>
      <w:r>
        <w:rPr>
          <w:b/>
        </w:rPr>
        <w:t xml:space="preserve">Accrued leave:</w:t>
      </w:r>
      <w:r>
        <w:t xml:space="preserve"> </w:t>
      </w:r>
      <w:r>
        <w:t xml:space="preserve">Paid in full (PL, CL, SL encashed at monthly salary rate).</w:t>
      </w:r>
      <w:r>
        <w:t xml:space="preserve"> </w:t>
      </w:r>
      <w:r>
        <w:t xml:space="preserve">-</w:t>
      </w:r>
      <w:r>
        <w:t xml:space="preserve"> </w:t>
      </w:r>
      <w:r>
        <w:rPr>
          <w:b/>
        </w:rPr>
        <w:t xml:space="preserve">Statutory gratuity:</w:t>
      </w:r>
      <w:r>
        <w:t xml:space="preserve"> </w:t>
      </w:r>
      <w:r>
        <w:t xml:space="preserve">As per Payment of Gratuity Act (if service ≥5 years).</w:t>
      </w:r>
      <w:r>
        <w:t xml:space="preserve"> </w:t>
      </w:r>
      <w:r>
        <w:t xml:space="preserve">-</w:t>
      </w:r>
      <w:r>
        <w:t xml:space="preserve"> </w:t>
      </w:r>
      <w:r>
        <w:rPr>
          <w:b/>
        </w:rPr>
        <w:t xml:space="preserve">Statutory bonus:</w:t>
      </w:r>
      <w:r>
        <w:t xml:space="preserve"> </w:t>
      </w:r>
      <w:r>
        <w:t xml:space="preserve">If completion of bonus year is pending, pro-rata bonus paid.</w:t>
      </w:r>
    </w:p>
    <w:p>
      <w:pPr>
        <w:pStyle w:val="BodyText"/>
      </w:pPr>
      <w:r>
        <w:rPr>
          <w:b/>
        </w:rPr>
        <w:t xml:space="preserve">Example:</w:t>
      </w:r>
      <w:r>
        <w:t xml:space="preserve"> </w:t>
      </w:r>
      <w:r>
        <w:t xml:space="preserve">Terminated in July (mid-bonus year, which ends Dec 31). Pro-rata bonus = (7 months ÷ 12) × full-year bonus.</w:t>
      </w:r>
    </w:p>
    <w:p>
      <w:pPr>
        <w:pStyle w:val="Heading3"/>
      </w:pPr>
      <w:bookmarkStart w:id="65" w:name="resignation"/>
      <w:r>
        <w:t xml:space="preserve">11.3 Resignation</w:t>
      </w:r>
      <w:bookmarkEnd w:id="65"/>
    </w:p>
    <w:p>
      <w:pPr>
        <w:pStyle w:val="FirstParagraph"/>
      </w:pPr>
      <w:r>
        <w:t xml:space="preserve">If you choose to</w:t>
      </w:r>
      <w:r>
        <w:t xml:space="preserve"> </w:t>
      </w:r>
      <w:r>
        <w:rPr>
          <w:b/>
        </w:rPr>
        <w:t xml:space="preserve">resign</w:t>
      </w:r>
      <w:r>
        <w:t xml:space="preserve">, you are required to provide</w:t>
      </w:r>
      <w:r>
        <w:t xml:space="preserve"> </w:t>
      </w:r>
      <w:r>
        <w:rPr>
          <w:b/>
        </w:rPr>
        <w:t xml:space="preserve">90 days’ written notice</w:t>
      </w:r>
      <w:r>
        <w:t xml:space="preserve">. During the notice period:</w:t>
      </w:r>
    </w:p>
    <w:p>
      <w:pPr>
        <w:numPr>
          <w:ilvl w:val="0"/>
          <w:numId w:val="1023"/>
        </w:numPr>
        <w:pStyle w:val="Compact"/>
      </w:pPr>
      <w:r>
        <w:t xml:space="preserve">You remain employed at full salary + benefits.</w:t>
      </w:r>
    </w:p>
    <w:p>
      <w:pPr>
        <w:numPr>
          <w:ilvl w:val="0"/>
          <w:numId w:val="1023"/>
        </w:numPr>
        <w:pStyle w:val="Compact"/>
      </w:pPr>
      <w:r>
        <w:t xml:space="preserve">Company may request you work during notice or go on</w:t>
      </w:r>
      <w:r>
        <w:t xml:space="preserve"> </w:t>
      </w:r>
      <w:r>
        <w:t xml:space="preserve">“</w:t>
      </w:r>
      <w:r>
        <w:t xml:space="preserve">garden leave</w:t>
      </w:r>
      <w:r>
        <w:t xml:space="preserve">”</w:t>
      </w:r>
      <w:r>
        <w:t xml:space="preserve"> </w:t>
      </w:r>
      <w:r>
        <w:t xml:space="preserve">(paid, not working).</w:t>
      </w:r>
    </w:p>
    <w:p>
      <w:pPr>
        <w:numPr>
          <w:ilvl w:val="0"/>
          <w:numId w:val="1023"/>
        </w:numPr>
        <w:pStyle w:val="Compact"/>
      </w:pPr>
      <w:r>
        <w:t xml:space="preserve">You are obligated to transition your work, train successors, and ensure knowledge transfer.</w:t>
      </w:r>
    </w:p>
    <w:p>
      <w:pPr>
        <w:pStyle w:val="FirstParagraph"/>
      </w:pPr>
      <w:r>
        <w:rPr>
          <w:b/>
        </w:rPr>
        <w:t xml:space="preserve">Severance for Resignation:</w:t>
      </w:r>
      <w:r>
        <w:t xml:space="preserve"> </w:t>
      </w:r>
      <w:r>
        <w:t xml:space="preserve">Accrued leave + gratuity (if ≥5 years of service). No additional severance or bonus.</w:t>
      </w:r>
    </w:p>
    <w:p>
      <w:r>
        <w:pict>
          <v:rect style="width:0;height:1.5pt" o:hralign="center" o:hrstd="t" o:hr="t"/>
        </w:pict>
      </w:r>
    </w:p>
    <w:p>
      <w:pPr>
        <w:pStyle w:val="Heading2"/>
      </w:pPr>
      <w:bookmarkStart w:id="66" w:name="background-verification-medical-check"/>
      <w:r>
        <w:t xml:space="preserve">12. BACKGROUND VERIFICATION &amp; MEDICAL CHECK</w:t>
      </w:r>
      <w:bookmarkEnd w:id="66"/>
    </w:p>
    <w:p>
      <w:pPr>
        <w:pStyle w:val="Heading3"/>
      </w:pPr>
      <w:bookmarkStart w:id="67" w:name="background-verification"/>
      <w:r>
        <w:t xml:space="preserve">12.1 Background Verification</w:t>
      </w:r>
      <w:bookmarkEnd w:id="67"/>
    </w:p>
    <w:p>
      <w:pPr>
        <w:pStyle w:val="FirstParagraph"/>
      </w:pPr>
      <w:r>
        <w:t xml:space="preserve">Your offer is</w:t>
      </w:r>
      <w:r>
        <w:t xml:space="preserve"> </w:t>
      </w:r>
      <w:r>
        <w:rPr>
          <w:b/>
        </w:rPr>
        <w:t xml:space="preserve">conditional upon satisfactory completion of background verification</w:t>
      </w:r>
      <w:r>
        <w:t xml:space="preserve">, which includes:</w:t>
      </w:r>
    </w:p>
    <w:p>
      <w:pPr>
        <w:numPr>
          <w:ilvl w:val="0"/>
          <w:numId w:val="1024"/>
        </w:numPr>
        <w:pStyle w:val="Compact"/>
      </w:pPr>
      <w:r>
        <w:t xml:space="preserve">Educational qualification verification (diploma, degree)</w:t>
      </w:r>
    </w:p>
    <w:p>
      <w:pPr>
        <w:numPr>
          <w:ilvl w:val="0"/>
          <w:numId w:val="1024"/>
        </w:numPr>
        <w:pStyle w:val="Compact"/>
      </w:pPr>
      <w:r>
        <w:t xml:space="preserve">Employment history verification (prior employers, dates, roles)</w:t>
      </w:r>
    </w:p>
    <w:p>
      <w:pPr>
        <w:numPr>
          <w:ilvl w:val="0"/>
          <w:numId w:val="1024"/>
        </w:numPr>
        <w:pStyle w:val="Compact"/>
      </w:pPr>
      <w:r>
        <w:t xml:space="preserve">Criminal background check (judicial and police records)</w:t>
      </w:r>
    </w:p>
    <w:p>
      <w:pPr>
        <w:numPr>
          <w:ilvl w:val="0"/>
          <w:numId w:val="1024"/>
        </w:numPr>
        <w:pStyle w:val="Compact"/>
      </w:pPr>
      <w:r>
        <w:t xml:space="preserve">Financial background check (if role involves financial responsibility)</w:t>
      </w:r>
    </w:p>
    <w:p>
      <w:pPr>
        <w:pStyle w:val="FirstParagraph"/>
      </w:pPr>
      <w:r>
        <w:t xml:space="preserve">Joining date may be deferred if verification takes longer than expected.</w:t>
      </w:r>
    </w:p>
    <w:p>
      <w:pPr>
        <w:pStyle w:val="BodyText"/>
      </w:pPr>
      <w:r>
        <w:rPr>
          <w:b/>
        </w:rPr>
        <w:t xml:space="preserve">Disqualification:</w:t>
      </w:r>
      <w:r>
        <w:t xml:space="preserve"> </w:t>
      </w:r>
      <w:r>
        <w:t xml:space="preserve">If verification reveals false information (e.g., fake degree, criminal conviction, credit fraud) that was not disclosed during hiring, the offer may be withdrawn.</w:t>
      </w:r>
    </w:p>
    <w:p>
      <w:pPr>
        <w:pStyle w:val="Heading3"/>
      </w:pPr>
      <w:bookmarkStart w:id="68" w:name="medical-examination"/>
      <w:r>
        <w:t xml:space="preserve">12.2 Medical Examination</w:t>
      </w:r>
      <w:bookmarkEnd w:id="68"/>
    </w:p>
    <w:p>
      <w:pPr>
        <w:pStyle w:val="FirstParagraph"/>
      </w:pPr>
      <w:r>
        <w:t xml:space="preserve">Before joining, you will be required to undergo a</w:t>
      </w:r>
      <w:r>
        <w:t xml:space="preserve"> </w:t>
      </w:r>
      <w:r>
        <w:rPr>
          <w:b/>
        </w:rPr>
        <w:t xml:space="preserve">medical examination</w:t>
      </w:r>
      <w:r>
        <w:t xml:space="preserve"> </w:t>
      </w:r>
      <w:r>
        <w:t xml:space="preserve">(at company cost) to confirm fitness for the role. This includes:</w:t>
      </w:r>
    </w:p>
    <w:p>
      <w:pPr>
        <w:numPr>
          <w:ilvl w:val="0"/>
          <w:numId w:val="1025"/>
        </w:numPr>
        <w:pStyle w:val="Compact"/>
      </w:pPr>
      <w:r>
        <w:t xml:space="preserve">Physical examination</w:t>
      </w:r>
    </w:p>
    <w:p>
      <w:pPr>
        <w:numPr>
          <w:ilvl w:val="0"/>
          <w:numId w:val="1025"/>
        </w:numPr>
        <w:pStyle w:val="Compact"/>
      </w:pPr>
      <w:r>
        <w:t xml:space="preserve">Vision &amp; hearing test</w:t>
      </w:r>
    </w:p>
    <w:p>
      <w:pPr>
        <w:numPr>
          <w:ilvl w:val="0"/>
          <w:numId w:val="1025"/>
        </w:numPr>
        <w:pStyle w:val="Compact"/>
      </w:pPr>
      <w:r>
        <w:t xml:space="preserve">Blood work (blood type, communicable disease screening)</w:t>
      </w:r>
    </w:p>
    <w:p>
      <w:pPr>
        <w:numPr>
          <w:ilvl w:val="0"/>
          <w:numId w:val="1025"/>
        </w:numPr>
        <w:pStyle w:val="Compact"/>
      </w:pPr>
      <w:r>
        <w:t xml:space="preserve">For roles with safety-critical responsibilities: additional tests (e.g., height/weight standards)</w:t>
      </w:r>
    </w:p>
    <w:p>
      <w:pPr>
        <w:pStyle w:val="FirstParagraph"/>
      </w:pPr>
      <w:r>
        <w:rPr>
          <w:b/>
        </w:rPr>
        <w:t xml:space="preserve">Medical Clearance:</w:t>
      </w:r>
      <w:r>
        <w:t xml:space="preserve"> </w:t>
      </w:r>
      <w:r>
        <w:t xml:space="preserve">You must obtain medical clearance before joining. If medical disqualification is determined, the Company may:</w:t>
      </w:r>
      <w:r>
        <w:t xml:space="preserve"> </w:t>
      </w:r>
      <w:r>
        <w:t xml:space="preserve">- Withdraw the offer, OR</w:t>
      </w:r>
      <w:r>
        <w:t xml:space="preserve"> </w:t>
      </w:r>
      <w:r>
        <w:t xml:space="preserve">- Offer alternative role (if suitable)</w:t>
      </w:r>
    </w:p>
    <w:p>
      <w:pPr>
        <w:pStyle w:val="BodyText"/>
      </w:pPr>
      <w:r>
        <w:rPr>
          <w:b/>
        </w:rPr>
        <w:t xml:space="preserve">Existing Medical Conditions:</w:t>
      </w:r>
      <w:r>
        <w:t xml:space="preserve"> </w:t>
      </w:r>
      <w:r>
        <w:t xml:space="preserve">If you have a pre-existing medical condition (chronic illness, disability, pregnancy), disclose it to HR. Reasonable accommodations (flexi-time, medical leave, adjustments) will be considered per the Rights of Persons with Disabilities Act, 2016.</w:t>
      </w:r>
    </w:p>
    <w:p>
      <w:r>
        <w:pict>
          <v:rect style="width:0;height:1.5pt" o:hralign="center" o:hrstd="t" o:hr="t"/>
        </w:pict>
      </w:r>
    </w:p>
    <w:p>
      <w:pPr>
        <w:pStyle w:val="Heading2"/>
      </w:pPr>
      <w:bookmarkStart w:id="69" w:name="dispute-resolution-governing-law"/>
      <w:r>
        <w:t xml:space="preserve">13. DISPUTE RESOLUTION &amp; GOVERNING LAW</w:t>
      </w:r>
      <w:bookmarkEnd w:id="69"/>
    </w:p>
    <w:p>
      <w:pPr>
        <w:pStyle w:val="Heading3"/>
      </w:pPr>
      <w:bookmarkStart w:id="70" w:name="jurisdiction-governing-law"/>
      <w:r>
        <w:t xml:space="preserve">13.1 Jurisdiction &amp; Governing Law</w:t>
      </w:r>
      <w:bookmarkEnd w:id="70"/>
    </w:p>
    <w:p>
      <w:pPr>
        <w:pStyle w:val="FirstParagraph"/>
      </w:pPr>
      <w:r>
        <w:t xml:space="preserve">This Offer Letter is governed by the</w:t>
      </w:r>
      <w:r>
        <w:t xml:space="preserve"> </w:t>
      </w:r>
      <w:r>
        <w:rPr>
          <w:b/>
        </w:rPr>
        <w:t xml:space="preserve">laws of India</w:t>
      </w:r>
      <w:r>
        <w:t xml:space="preserve">, without regard to conflict-of-law principles. All disputes shall be subject to the</w:t>
      </w:r>
      <w:r>
        <w:t xml:space="preserve"> </w:t>
      </w:r>
      <w:r>
        <w:rPr>
          <w:b/>
        </w:rPr>
        <w:t xml:space="preserve">jurisdiction of courts in Bengaluru, Karnataka</w:t>
      </w:r>
      <w:r>
        <w:t xml:space="preserve">, India.</w:t>
      </w:r>
    </w:p>
    <w:p>
      <w:pPr>
        <w:pStyle w:val="Heading3"/>
      </w:pPr>
      <w:bookmarkStart w:id="71" w:name="grievance-redressal"/>
      <w:r>
        <w:t xml:space="preserve">13.2 Grievance Redressal</w:t>
      </w:r>
      <w:bookmarkEnd w:id="71"/>
    </w:p>
    <w:p>
      <w:pPr>
        <w:pStyle w:val="FirstParagraph"/>
      </w:pPr>
      <w:r>
        <w:t xml:space="preserve">If you have a grievance (wage dispute, harassment, termination) follow this process:</w:t>
      </w:r>
    </w:p>
    <w:p>
      <w:pPr>
        <w:numPr>
          <w:ilvl w:val="0"/>
          <w:numId w:val="1026"/>
        </w:numPr>
        <w:pStyle w:val="Compact"/>
      </w:pPr>
      <w:r>
        <w:rPr>
          <w:b/>
        </w:rPr>
        <w:t xml:space="preserve">Informal Resolution (14 days):</w:t>
      </w:r>
      <w:r>
        <w:t xml:space="preserve"> </w:t>
      </w:r>
      <w:r>
        <w:t xml:space="preserve">Report to your manager or HR; attempt amicable resolution.</w:t>
      </w:r>
    </w:p>
    <w:p>
      <w:pPr>
        <w:numPr>
          <w:ilvl w:val="0"/>
          <w:numId w:val="1026"/>
        </w:numPr>
        <w:pStyle w:val="Compact"/>
      </w:pPr>
      <w:r>
        <w:rPr>
          <w:b/>
        </w:rPr>
        <w:t xml:space="preserve">Formal Complaint (if unresolved):</w:t>
      </w:r>
      <w:r>
        <w:t xml:space="preserve"> </w:t>
      </w:r>
      <w:r>
        <w:t xml:space="preserve">Submit written complaint to the Company’s</w:t>
      </w:r>
      <w:r>
        <w:t xml:space="preserve"> </w:t>
      </w:r>
      <w:r>
        <w:rPr>
          <w:b/>
        </w:rPr>
        <w:t xml:space="preserve">Grievance Officer</w:t>
      </w:r>
      <w:r>
        <w:t xml:space="preserve"> </w:t>
      </w:r>
      <w:r>
        <w:t xml:space="preserve">(</w:t>
      </w:r>
      <w:r>
        <w:rPr>
          <w:rStyle w:val="VerbatimChar"/>
        </w:rPr>
        <w:t xml:space="preserve">[Officer 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p>
    <w:p>
      <w:pPr>
        <w:numPr>
          <w:ilvl w:val="0"/>
          <w:numId w:val="1026"/>
        </w:numPr>
        <w:pStyle w:val="Compact"/>
      </w:pPr>
      <w:r>
        <w:rPr>
          <w:b/>
        </w:rPr>
        <w:t xml:space="preserve">Investigation (30 days):</w:t>
      </w:r>
      <w:r>
        <w:t xml:space="preserve"> </w:t>
      </w:r>
      <w:r>
        <w:t xml:space="preserve">Grievance Officer investigates and issues findings.</w:t>
      </w:r>
    </w:p>
    <w:p>
      <w:pPr>
        <w:numPr>
          <w:ilvl w:val="0"/>
          <w:numId w:val="1026"/>
        </w:numPr>
        <w:pStyle w:val="Compact"/>
      </w:pPr>
      <w:r>
        <w:rPr>
          <w:b/>
        </w:rPr>
        <w:t xml:space="preserve">Appeal (if unsatisfied):</w:t>
      </w:r>
      <w:r>
        <w:t xml:space="preserve"> </w:t>
      </w:r>
      <w:r>
        <w:t xml:space="preserve">Appeal to the</w:t>
      </w:r>
      <w:r>
        <w:t xml:space="preserve"> </w:t>
      </w:r>
      <w:r>
        <w:rPr>
          <w:b/>
        </w:rPr>
        <w:t xml:space="preserve">CEO</w:t>
      </w:r>
      <w:r>
        <w:t xml:space="preserve"> </w:t>
      </w:r>
      <w:r>
        <w:t xml:space="preserve">within 15 days.</w:t>
      </w:r>
    </w:p>
    <w:p>
      <w:pPr>
        <w:numPr>
          <w:ilvl w:val="0"/>
          <w:numId w:val="1026"/>
        </w:numPr>
        <w:pStyle w:val="Compact"/>
      </w:pPr>
      <w:r>
        <w:rPr>
          <w:b/>
        </w:rPr>
        <w:t xml:space="preserve">Legal Remedy:</w:t>
      </w:r>
      <w:r>
        <w:t xml:space="preserve"> </w:t>
      </w:r>
      <w:r>
        <w:t xml:space="preserve">If dispute remains unresolved after Company process, pursue industrial dispute proceedings under the</w:t>
      </w:r>
      <w:r>
        <w:t xml:space="preserve"> </w:t>
      </w:r>
      <w:r>
        <w:rPr>
          <w:b/>
        </w:rPr>
        <w:t xml:space="preserve">Industrial Disputes Act, 1947</w:t>
      </w:r>
      <w:r>
        <w:t xml:space="preserve"> </w:t>
      </w:r>
      <w:r>
        <w:t xml:space="preserve">(if applicable) or civil litigation.</w:t>
      </w:r>
    </w:p>
    <w:p>
      <w:r>
        <w:pict>
          <v:rect style="width:0;height:1.5pt" o:hralign="center" o:hrstd="t" o:hr="t"/>
        </w:pict>
      </w:r>
    </w:p>
    <w:p>
      <w:pPr>
        <w:pStyle w:val="Heading2"/>
      </w:pPr>
      <w:bookmarkStart w:id="72" w:name="acknowledgment-acceptance"/>
      <w:r>
        <w:t xml:space="preserve">14. ACKNOWLEDGMENT &amp; ACCEPTANCE</w:t>
      </w:r>
      <w:bookmarkEnd w:id="72"/>
    </w:p>
    <w:p>
      <w:pPr>
        <w:pStyle w:val="Heading3"/>
      </w:pPr>
      <w:bookmarkStart w:id="73" w:name="acceptance-of-offer"/>
      <w:r>
        <w:t xml:space="preserve">14.1 Acceptance of Offer</w:t>
      </w:r>
      <w:bookmarkEnd w:id="73"/>
    </w:p>
    <w:p>
      <w:pPr>
        <w:pStyle w:val="FirstParagraph"/>
      </w:pPr>
      <w:r>
        <w:rPr>
          <w:b/>
        </w:rPr>
        <w:t xml:space="preserve">To accept this offer, you must:</w:t>
      </w:r>
    </w:p>
    <w:p>
      <w:pPr>
        <w:numPr>
          <w:ilvl w:val="0"/>
          <w:numId w:val="1027"/>
        </w:numPr>
        <w:pStyle w:val="Compact"/>
      </w:pPr>
      <w:r>
        <w:t xml:space="preserve">Sign and return this letter (both signature pages) within</w:t>
      </w:r>
      <w:r>
        <w:t xml:space="preserve"> </w:t>
      </w:r>
      <w:r>
        <w:rPr>
          <w:b/>
        </w:rPr>
        <w:t xml:space="preserve">10 calendar days</w:t>
      </w:r>
      <w:r>
        <w:t xml:space="preserve"> </w:t>
      </w:r>
      <w:r>
        <w:t xml:space="preserve">of receiving it.</w:t>
      </w:r>
    </w:p>
    <w:p>
      <w:pPr>
        <w:numPr>
          <w:ilvl w:val="0"/>
          <w:numId w:val="1027"/>
        </w:numPr>
        <w:pStyle w:val="Compact"/>
      </w:pPr>
      <w:r>
        <w:t xml:space="preserve">Confirm your</w:t>
      </w:r>
      <w:r>
        <w:t xml:space="preserve"> </w:t>
      </w:r>
      <w:r>
        <w:rPr>
          <w:b/>
        </w:rPr>
        <w:t xml:space="preserve">proposed joining date</w:t>
      </w:r>
      <w:r>
        <w:t xml:space="preserve"> </w:t>
      </w:r>
      <w:r>
        <w:t xml:space="preserve">(must be within 60 days of letter date).</w:t>
      </w:r>
    </w:p>
    <w:p>
      <w:pPr>
        <w:numPr>
          <w:ilvl w:val="0"/>
          <w:numId w:val="1027"/>
        </w:numPr>
        <w:pStyle w:val="Compact"/>
      </w:pPr>
      <w:r>
        <w:t xml:space="preserve">Complete the background verification and medical examination.</w:t>
      </w:r>
    </w:p>
    <w:p>
      <w:pPr>
        <w:numPr>
          <w:ilvl w:val="0"/>
          <w:numId w:val="1027"/>
        </w:numPr>
        <w:pStyle w:val="Compact"/>
      </w:pPr>
      <w:r>
        <w:t xml:space="preserve">Provide copies of: diploma/degree certificates, work permits (if foreign national), and any other documents Company requests.</w:t>
      </w:r>
    </w:p>
    <w:p>
      <w:pPr>
        <w:pStyle w:val="FirstParagraph"/>
      </w:pPr>
      <w:r>
        <w:rPr>
          <w:b/>
        </w:rPr>
        <w:t xml:space="preserve">Failure to accept within 10 days</w:t>
      </w:r>
      <w:r>
        <w:t xml:space="preserve"> </w:t>
      </w:r>
      <w:r>
        <w:t xml:space="preserve">may result in withdrawal of the offer.</w:t>
      </w:r>
    </w:p>
    <w:p>
      <w:pPr>
        <w:pStyle w:val="Heading3"/>
      </w:pPr>
      <w:bookmarkStart w:id="74" w:name="conditions-precedent"/>
      <w:r>
        <w:t xml:space="preserve">14.2 Conditions Precedent</w:t>
      </w:r>
      <w:bookmarkEnd w:id="74"/>
    </w:p>
    <w:p>
      <w:pPr>
        <w:pStyle w:val="FirstParagraph"/>
      </w:pPr>
      <w:r>
        <w:t xml:space="preserve">This offer is contingent on:</w:t>
      </w:r>
    </w:p>
    <w:p>
      <w:pPr>
        <w:numPr>
          <w:ilvl w:val="0"/>
          <w:numId w:val="1028"/>
        </w:numPr>
        <w:pStyle w:val="Compact"/>
      </w:pPr>
      <w:r>
        <w:t xml:space="preserve">Satisfactory background verification</w:t>
      </w:r>
    </w:p>
    <w:p>
      <w:pPr>
        <w:numPr>
          <w:ilvl w:val="0"/>
          <w:numId w:val="1028"/>
        </w:numPr>
        <w:pStyle w:val="Compact"/>
      </w:pPr>
      <w:r>
        <w:t xml:space="preserve">Medical fitness clearance</w:t>
      </w:r>
    </w:p>
    <w:p>
      <w:pPr>
        <w:numPr>
          <w:ilvl w:val="0"/>
          <w:numId w:val="1028"/>
        </w:numPr>
        <w:pStyle w:val="Compact"/>
      </w:pPr>
      <w:r>
        <w:t xml:space="preserve">No material misrepresentation by you in application/interviews</w:t>
      </w:r>
    </w:p>
    <w:p>
      <w:pPr>
        <w:numPr>
          <w:ilvl w:val="0"/>
          <w:numId w:val="1028"/>
        </w:numPr>
        <w:pStyle w:val="Compact"/>
      </w:pPr>
      <w:r>
        <w:t xml:space="preserve">No legal impediment to employment (immigration status, non-compete agreements with prior employers, etc.)</w:t>
      </w:r>
    </w:p>
    <w:p>
      <w:pPr>
        <w:pStyle w:val="Heading3"/>
      </w:pPr>
      <w:bookmarkStart w:id="75" w:name="at-will-employment-clarification"/>
      <w:r>
        <w:t xml:space="preserve">14.3 At-Will Employment (Clarification)</w:t>
      </w:r>
      <w:bookmarkEnd w:id="75"/>
    </w:p>
    <w:p>
      <w:pPr>
        <w:pStyle w:val="FirstParagraph"/>
      </w:pPr>
      <w:r>
        <w:t xml:space="preserve">This is an</w:t>
      </w:r>
      <w:r>
        <w:t xml:space="preserve"> </w:t>
      </w:r>
      <w:r>
        <w:rPr>
          <w:b/>
        </w:rPr>
        <w:t xml:space="preserve">at-will employment offer</w:t>
      </w:r>
      <w:r>
        <w:t xml:space="preserve"> </w:t>
      </w:r>
      <w:r>
        <w:t xml:space="preserve">subject to probation and notice periods. Either party may terminate the employment relationship at any time by providing the required notice (as specified in Section 4 or 11).</w:t>
      </w:r>
      <w:r>
        <w:t xml:space="preserve"> </w:t>
      </w:r>
      <w:r>
        <w:rPr>
          <w:b/>
        </w:rPr>
        <w:t xml:space="preserve">No oral promise of job security or modified terms changes this at-will nature.</w:t>
      </w:r>
    </w:p>
    <w:p>
      <w:r>
        <w:pict>
          <v:rect style="width:0;height:1.5pt" o:hralign="center" o:hrstd="t" o:hr="t"/>
        </w:pict>
      </w:r>
    </w:p>
    <w:p>
      <w:pPr>
        <w:pStyle w:val="Heading2"/>
      </w:pPr>
      <w:bookmarkStart w:id="76" w:name="signature-blocks"/>
      <w:r>
        <w:t xml:space="preserve">15. SIGNATURE BLOCKS</w:t>
      </w:r>
      <w:bookmarkEnd w:id="76"/>
    </w:p>
    <w:p>
      <w:pPr>
        <w:pStyle w:val="FirstParagraph"/>
      </w:pPr>
      <w:r>
        <w:rPr>
          <w:b/>
        </w:rPr>
        <w:t xml:space="preserve">Company (Authorized Signatory):</w:t>
      </w:r>
    </w:p>
    <w:p>
      <w:pPr>
        <w:pStyle w:val="BodyText"/>
      </w:pPr>
      <w:r>
        <w:t xml:space="preserve">By: ___________________________________</w:t>
      </w:r>
      <w:r>
        <w:br/>
      </w:r>
      <w:r>
        <w:t xml:space="preserve">Name:</w:t>
      </w:r>
      <w:r>
        <w:t xml:space="preserve"> </w:t>
      </w:r>
      <w:r>
        <w:rPr>
          <w:rStyle w:val="VerbatimChar"/>
        </w:rPr>
        <w:t xml:space="preserve">[Signatory Name]</w:t>
      </w:r>
      <w:r>
        <w:br/>
      </w:r>
      <w:r>
        <w:t xml:space="preserve">Title:</w:t>
      </w:r>
      <w:r>
        <w:t xml:space="preserve"> </w:t>
      </w:r>
      <w:r>
        <w:rPr>
          <w:rStyle w:val="VerbatimChar"/>
        </w:rPr>
        <w:t xml:space="preserve">[Signatory Title]</w:t>
      </w:r>
      <w:r>
        <w:t xml:space="preserve"> </w:t>
      </w:r>
      <w:r>
        <w:t xml:space="preserve">(e.g., CEO, HR Manager)</w:t>
      </w:r>
      <w:r>
        <w:br/>
      </w:r>
      <w:r>
        <w:t xml:space="preserve">Date: ___________________________________</w:t>
      </w:r>
      <w:r>
        <w:br/>
      </w:r>
      <w:r>
        <w:t xml:space="preserve">Company Stamp: ___________________________________</w:t>
      </w:r>
    </w:p>
    <w:p>
      <w:r>
        <w:pict>
          <v:rect style="width:0;height:1.5pt" o:hralign="center" o:hrstd="t" o:hr="t"/>
        </w:pict>
      </w:r>
    </w:p>
    <w:p>
      <w:pPr>
        <w:pStyle w:val="FirstParagraph"/>
      </w:pPr>
      <w:r>
        <w:rPr>
          <w:b/>
        </w:rPr>
        <w:t xml:space="preserve">Candidate Acceptance:</w:t>
      </w:r>
    </w:p>
    <w:p>
      <w:pPr>
        <w:pStyle w:val="BodyText"/>
      </w:pPr>
      <w:r>
        <w:t xml:space="preserve">I hereby</w:t>
      </w:r>
      <w:r>
        <w:t xml:space="preserve"> </w:t>
      </w:r>
      <w:r>
        <w:rPr>
          <w:b/>
        </w:rPr>
        <w:t xml:space="preserve">accept</w:t>
      </w:r>
      <w:r>
        <w:t xml:space="preserve"> </w:t>
      </w:r>
      <w:r>
        <w:t xml:space="preserve">this offer of employment on the terms and conditions stated above.</w:t>
      </w:r>
    </w:p>
    <w:p>
      <w:pPr>
        <w:pStyle w:val="BodyText"/>
      </w:pPr>
      <w:r>
        <w:t xml:space="preserve">I confirm that:</w:t>
      </w:r>
    </w:p>
    <w:p>
      <w:pPr>
        <w:numPr>
          <w:ilvl w:val="0"/>
          <w:numId w:val="1029"/>
        </w:numPr>
        <w:pStyle w:val="Compact"/>
      </w:pPr>
      <w:r>
        <w:t xml:space="preserve">☐ I have read and understood all terms of this offer letter.</w:t>
      </w:r>
    </w:p>
    <w:p>
      <w:pPr>
        <w:numPr>
          <w:ilvl w:val="0"/>
          <w:numId w:val="1029"/>
        </w:numPr>
        <w:pStyle w:val="Compact"/>
      </w:pPr>
      <w:r>
        <w:t xml:space="preserve">☐ I have disclosed all material prior employment non-compete, non-solicitation, or IP assignment obligations that may apply to me.</w:t>
      </w:r>
    </w:p>
    <w:p>
      <w:pPr>
        <w:numPr>
          <w:ilvl w:val="0"/>
          <w:numId w:val="1029"/>
        </w:numPr>
        <w:pStyle w:val="Compact"/>
      </w:pPr>
      <w:r>
        <w:t xml:space="preserve">☐ I am legally authorized to work in India (for foreign nationals: visa/permit documentation enclosed).</w:t>
      </w:r>
    </w:p>
    <w:p>
      <w:pPr>
        <w:numPr>
          <w:ilvl w:val="0"/>
          <w:numId w:val="1029"/>
        </w:numPr>
        <w:pStyle w:val="Compact"/>
      </w:pPr>
      <w:r>
        <w:t xml:space="preserve">☐ All information I provided in my application and interviews is truthful and complete.</w:t>
      </w:r>
    </w:p>
    <w:p>
      <w:pPr>
        <w:pStyle w:val="FirstParagraph"/>
      </w:pPr>
      <w:r>
        <w:t xml:space="preserve">Signature: ___________________________________</w:t>
      </w:r>
      <w:r>
        <w:br/>
      </w:r>
      <w:r>
        <w:t xml:space="preserve">Printed Name:</w:t>
      </w:r>
      <w:r>
        <w:t xml:space="preserve"> </w:t>
      </w:r>
      <w:r>
        <w:rPr>
          <w:rStyle w:val="VerbatimChar"/>
        </w:rPr>
        <w:t xml:space="preserve">[Candidate Name]</w:t>
      </w:r>
      <w:r>
        <w:br/>
      </w:r>
      <w:r>
        <w:t xml:space="preserve">Date: ___________________________________</w:t>
      </w:r>
    </w:p>
    <w:p>
      <w:r>
        <w:pict>
          <v:rect style="width:0;height:1.5pt" o:hralign="center" o:hrstd="t" o:hr="t"/>
        </w:pict>
      </w:r>
    </w:p>
    <w:p>
      <w:r>
        <w:pict>
          <v:rect style="width:0;height:1.5pt" o:hralign="center" o:hrstd="t" o:hr="t"/>
        </w:pict>
      </w:r>
    </w:p>
    <w:p>
      <w:pPr>
        <w:pStyle w:val="Heading2"/>
      </w:pPr>
      <w:bookmarkStart w:id="77" w:name="appendix-a-prior-ip-exclusion-list"/>
      <w:r>
        <w:t xml:space="preserve">APPENDIX A: PRIOR IP EXCLUSION LIST</w:t>
      </w:r>
      <w:bookmarkEnd w:id="77"/>
    </w:p>
    <w:p>
      <w:pPr>
        <w:pStyle w:val="FirstParagraph"/>
      </w:pPr>
      <w:r>
        <w:rPr>
          <w:b/>
        </w:rPr>
        <w:t xml:space="preserve">Instructions:</w:t>
      </w:r>
      <w:r>
        <w:t xml:space="preserve"> </w:t>
      </w:r>
      <w:r>
        <w:t xml:space="preserve">If you have any prior inventions, patents, code repositories, or IP created</w:t>
      </w:r>
      <w:r>
        <w:t xml:space="preserve"> </w:t>
      </w:r>
      <w:r>
        <w:rPr>
          <w:b/>
        </w:rPr>
        <w:t xml:space="preserve">before joining QOrium</w:t>
      </w:r>
      <w:r>
        <w:t xml:space="preserve"> </w:t>
      </w:r>
      <w:r>
        <w:t xml:space="preserve">that you wish to exclude from the Company’s assignment (Section 9.2), list them below. Be specific (title, date of creation, brief description). Items not listed are deemed assigned to QOrium.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 IP / Invention</w:t>
            </w:r>
          </w:p>
        </w:tc>
        <w:tc>
          <w:tcPr>
            <w:tcBorders>
              <w:bottom w:val="single"/>
            </w:tcBorders>
            <w:vAlign w:val="bottom"/>
          </w:tcPr>
          <w:p>
            <w:pPr>
              <w:pStyle w:val="Compact"/>
              <w:jc w:val="left"/>
            </w:pPr>
            <w:r>
              <w:t xml:space="preserve">Date Created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Status (e.g., Patent, Open-Source, Private)</w:t>
            </w:r>
          </w:p>
        </w:tc>
      </w:tr>
      <w:tr>
        <w:tc>
          <w:p/>
        </w:tc>
        <w:tc>
          <w:p/>
        </w:tc>
        <w:tc>
          <w:p/>
        </w:tc>
        <w:tc>
          <w:p/>
        </w:tc>
      </w:tr>
      <w:tr>
        <w:tc>
          <w:p/>
        </w:tc>
        <w:tc>
          <w:p/>
        </w:tc>
        <w:tc>
          <w:p/>
        </w:tc>
        <w:tc>
          <w:p/>
        </w:tc>
      </w:tr>
      <w:tr>
        <w:tc>
          <w:p/>
        </w:tc>
        <w:tc>
          <w:p/>
        </w:tc>
        <w:tc>
          <w:p/>
        </w:tc>
        <w:tc>
          <w:p/>
        </w:tc>
      </w:tr>
    </w:tbl>
    <w:p>
      <w:pPr>
        <w:pStyle w:val="BodyText"/>
      </w:pPr>
      <w:r>
        <w:rPr>
          <w:b/>
        </w:rPr>
        <w:t xml:space="preserve">Candidate Signature (confirming list completeness):</w:t>
      </w:r>
    </w:p>
    <w:p>
      <w:r>
        <w:pict>
          <v:rect style="width:0;height:1.5pt" o:hralign="center" o:hrstd="t" o:hr="t"/>
        </w:pict>
      </w:r>
    </w:p>
    <w:p>
      <w:pPr>
        <w:pStyle w:val="FirstParagraph"/>
      </w:pPr>
      <w:r>
        <w:rPr>
          <w:b/>
        </w:rPr>
        <w:t xml:space="preserve">Date:</w:t>
      </w:r>
      <w:r>
        <w:t xml:space="preserve"> </w:t>
      </w:r>
      <w:r>
        <w:t xml:space="preserve">___________________________________</w:t>
      </w:r>
    </w:p>
    <w:p>
      <w:r>
        <w:pict>
          <v:rect style="width:0;height:1.5pt" o:hralign="center" o:hrstd="t" o:hr="t"/>
        </w:pict>
      </w:r>
    </w:p>
    <w:p>
      <w:r>
        <w:pict>
          <v:rect style="width:0;height:1.5pt" o:hralign="center" o:hrstd="t" o:hr="t"/>
        </w:pict>
      </w:r>
    </w:p>
    <w:p>
      <w:pPr>
        <w:pStyle w:val="Heading2"/>
      </w:pPr>
      <w:bookmarkStart w:id="78" w:name="appendix-b-drafting-notes-to-counsel"/>
      <w:r>
        <w:t xml:space="preserve">APPENDIX B: DRAFTING NOTES TO COUNSEL</w:t>
      </w:r>
      <w:bookmarkEnd w:id="78"/>
    </w:p>
    <w:p>
      <w:pPr>
        <w:pStyle w:val="FirstParagraph"/>
      </w:pPr>
      <w:r>
        <w:t xml:space="preserve">Counsel should review and confirm the following items before finalizing:</w:t>
      </w:r>
    </w:p>
    <w:p>
      <w:pPr>
        <w:numPr>
          <w:ilvl w:val="0"/>
          <w:numId w:val="1030"/>
        </w:numPr>
        <w:pStyle w:val="Compact"/>
      </w:pPr>
      <w:r>
        <w:rPr>
          <w:b/>
        </w:rPr>
        <w:t xml:space="preserve">CTC Structure Compliance</w:t>
      </w:r>
      <w:r>
        <w:t xml:space="preserve"> </w:t>
      </w:r>
      <w:r>
        <w:t xml:space="preserve">— Verify that the CTC component breakdown complies with:</w:t>
      </w:r>
    </w:p>
    <w:p>
      <w:pPr>
        <w:numPr>
          <w:ilvl w:val="1"/>
          <w:numId w:val="1031"/>
        </w:numPr>
        <w:pStyle w:val="Compact"/>
      </w:pPr>
      <w:r>
        <w:rPr>
          <w:b/>
        </w:rPr>
        <w:t xml:space="preserve">Income Tax Act</w:t>
      </w:r>
      <w:r>
        <w:t xml:space="preserve"> </w:t>
      </w:r>
      <w:r>
        <w:t xml:space="preserve">(basic salary limits for PF contribution, deduction eligibility)</w:t>
      </w:r>
    </w:p>
    <w:p>
      <w:pPr>
        <w:numPr>
          <w:ilvl w:val="1"/>
          <w:numId w:val="1031"/>
        </w:numPr>
        <w:pStyle w:val="Compact"/>
      </w:pPr>
      <w:r>
        <w:rPr>
          <w:b/>
        </w:rPr>
        <w:t xml:space="preserve">Gratuity Act</w:t>
      </w:r>
      <w:r>
        <w:t xml:space="preserve"> </w:t>
      </w:r>
      <w:r>
        <w:t xml:space="preserve">(basic pay definition for gratuity calculation)</w:t>
      </w:r>
    </w:p>
    <w:p>
      <w:pPr>
        <w:numPr>
          <w:ilvl w:val="1"/>
          <w:numId w:val="1031"/>
        </w:numPr>
        <w:pStyle w:val="Compact"/>
      </w:pPr>
      <w:r>
        <w:rPr>
          <w:b/>
        </w:rPr>
        <w:t xml:space="preserve">GST / Withholding Tax</w:t>
      </w:r>
      <w:r>
        <w:t xml:space="preserve"> </w:t>
      </w:r>
      <w:r>
        <w:t xml:space="preserve">rules if QOrium has other contractors/vendors</w:t>
      </w:r>
    </w:p>
    <w:p>
      <w:pPr>
        <w:numPr>
          <w:ilvl w:val="0"/>
          <w:numId w:val="1030"/>
        </w:numPr>
        <w:pStyle w:val="Compact"/>
      </w:pPr>
      <w:r>
        <w:rPr>
          <w:b/>
        </w:rPr>
        <w:t xml:space="preserve">ESOP Vesting Schedule &amp; Regulatory Compliance:</w:t>
      </w:r>
    </w:p>
    <w:p>
      <w:pPr>
        <w:numPr>
          <w:ilvl w:val="1"/>
          <w:numId w:val="1032"/>
        </w:numPr>
        <w:pStyle w:val="Compact"/>
      </w:pPr>
      <w:r>
        <w:t xml:space="preserve">Confirm vesting terms (4-year, 1-year cliff) align with Board ESOP policy.</w:t>
      </w:r>
    </w:p>
    <w:p>
      <w:pPr>
        <w:numPr>
          <w:ilvl w:val="1"/>
          <w:numId w:val="1032"/>
        </w:numPr>
        <w:pStyle w:val="Compact"/>
      </w:pPr>
      <w:r>
        <w:t xml:space="preserve">Verify strike price determination methodology complies with</w:t>
      </w:r>
      <w:r>
        <w:t xml:space="preserve"> </w:t>
      </w:r>
      <w:r>
        <w:rPr>
          <w:b/>
        </w:rPr>
        <w:t xml:space="preserve">Income Tax Act §92(7)</w:t>
      </w:r>
      <w:r>
        <w:t xml:space="preserve"> </w:t>
      </w:r>
      <w:r>
        <w:t xml:space="preserve">(fair market value for tax purposes).</w:t>
      </w:r>
    </w:p>
    <w:p>
      <w:pPr>
        <w:numPr>
          <w:ilvl w:val="1"/>
          <w:numId w:val="1032"/>
        </w:numPr>
        <w:pStyle w:val="Compact"/>
      </w:pPr>
      <w:r>
        <w:t xml:space="preserve">Clarify acceleration provisions (double-trigger vs single-trigger) per Company policy.</w:t>
      </w:r>
    </w:p>
    <w:p>
      <w:pPr>
        <w:numPr>
          <w:ilvl w:val="1"/>
          <w:numId w:val="1032"/>
        </w:numPr>
        <w:pStyle w:val="Compact"/>
      </w:pPr>
      <w:r>
        <w:t xml:space="preserve">Consider draft a separate</w:t>
      </w:r>
      <w:r>
        <w:t xml:space="preserve"> </w:t>
      </w:r>
      <w:r>
        <w:rPr>
          <w:b/>
        </w:rPr>
        <w:t xml:space="preserve">ESOP Grant Letter</w:t>
      </w:r>
      <w:r>
        <w:t xml:space="preserve"> </w:t>
      </w:r>
      <w:r>
        <w:t xml:space="preserve">(not included here) executed separately, which provides the specific share certificate details.</w:t>
      </w:r>
    </w:p>
    <w:p>
      <w:pPr>
        <w:numPr>
          <w:ilvl w:val="0"/>
          <w:numId w:val="1030"/>
        </w:numPr>
        <w:pStyle w:val="Compact"/>
      </w:pPr>
      <w:r>
        <w:rPr>
          <w:b/>
        </w:rPr>
        <w:t xml:space="preserve">Probation &amp; Notice Period Enforceability:</w:t>
      </w:r>
    </w:p>
    <w:p>
      <w:pPr>
        <w:numPr>
          <w:ilvl w:val="1"/>
          <w:numId w:val="1033"/>
        </w:numPr>
        <w:pStyle w:val="Compact"/>
      </w:pPr>
      <w:r>
        <w:t xml:space="preserve">Indian courts generally enforce 3–6 month probation for skilled roles; confirm the 6-month probation period is reasonable for this role.</w:t>
      </w:r>
    </w:p>
    <w:p>
      <w:pPr>
        <w:numPr>
          <w:ilvl w:val="1"/>
          <w:numId w:val="1033"/>
        </w:numPr>
        <w:pStyle w:val="Compact"/>
      </w:pPr>
      <w:r>
        <w:t xml:space="preserve">90-day post-probation notice period is standard; enforceable.</w:t>
      </w:r>
    </w:p>
    <w:p>
      <w:pPr>
        <w:numPr>
          <w:ilvl w:val="0"/>
          <w:numId w:val="1030"/>
        </w:numPr>
        <w:pStyle w:val="Compact"/>
      </w:pPr>
      <w:r>
        <w:rPr>
          <w:b/>
        </w:rPr>
        <w:t xml:space="preserve">Non-Compete Enforceability (Post-Employment):</w:t>
      </w:r>
    </w:p>
    <w:p>
      <w:pPr>
        <w:numPr>
          <w:ilvl w:val="1"/>
          <w:numId w:val="1034"/>
        </w:numPr>
        <w:pStyle w:val="Compact"/>
      </w:pPr>
      <w:r>
        <w:t xml:space="preserve">Section 8.2 acknowledges that post-employment non-competes are difficult to enforce in India under Contract Act §27 (restraint of trade). The 6-month post-employment non-compete is drafted as a</w:t>
      </w:r>
      <w:r>
        <w:t xml:space="preserve"> </w:t>
      </w:r>
      <w:r>
        <w:t xml:space="preserve">“</w:t>
      </w:r>
      <w:r>
        <w:t xml:space="preserve">non-binding request</w:t>
      </w:r>
      <w:r>
        <w:t xml:space="preserve">”</w:t>
      </w:r>
      <w:r>
        <w:t xml:space="preserve"> </w:t>
      </w:r>
      <w:r>
        <w:t xml:space="preserve">to maximize enforceability.</w:t>
      </w:r>
    </w:p>
    <w:p>
      <w:pPr>
        <w:numPr>
          <w:ilvl w:val="1"/>
          <w:numId w:val="1034"/>
        </w:numPr>
        <w:pStyle w:val="Compact"/>
      </w:pPr>
      <w:r>
        <w:rPr>
          <w:b/>
        </w:rPr>
        <w:t xml:space="preserve">Recommendation:</w:t>
      </w:r>
      <w:r>
        <w:t xml:space="preserve"> </w:t>
      </w:r>
      <w:r>
        <w:t xml:space="preserve">If this is a high-security role (CTO, CDO, senior engineer with critical IP exposure), consider:</w:t>
      </w:r>
    </w:p>
    <w:p>
      <w:pPr>
        <w:numPr>
          <w:ilvl w:val="2"/>
          <w:numId w:val="1035"/>
        </w:numPr>
        <w:pStyle w:val="Compact"/>
      </w:pPr>
      <w:r>
        <w:t xml:space="preserve">Non-compete tied to</w:t>
      </w:r>
      <w:r>
        <w:t xml:space="preserve"> </w:t>
      </w:r>
      <w:r>
        <w:rPr>
          <w:b/>
        </w:rPr>
        <w:t xml:space="preserve">garden leave</w:t>
      </w:r>
      <w:r>
        <w:t xml:space="preserve"> </w:t>
      </w:r>
      <w:r>
        <w:t xml:space="preserve">(paid notice period during which employee doesn’t work)</w:t>
      </w:r>
    </w:p>
    <w:p>
      <w:pPr>
        <w:numPr>
          <w:ilvl w:val="2"/>
          <w:numId w:val="1035"/>
        </w:numPr>
        <w:pStyle w:val="Compact"/>
      </w:pPr>
      <w:r>
        <w:rPr>
          <w:b/>
        </w:rPr>
        <w:t xml:space="preserve">Liquidated damages clause</w:t>
      </w:r>
      <w:r>
        <w:t xml:space="preserve"> </w:t>
      </w:r>
      <w:r>
        <w:t xml:space="preserve">(fixed monetary penalty for breach, not relying on proof of losses)</w:t>
      </w:r>
    </w:p>
    <w:p>
      <w:pPr>
        <w:numPr>
          <w:ilvl w:val="2"/>
          <w:numId w:val="1035"/>
        </w:numPr>
        <w:pStyle w:val="Compact"/>
      </w:pPr>
      <w:r>
        <w:rPr>
          <w:b/>
        </w:rPr>
        <w:t xml:space="preserve">Equity vesting clawback</w:t>
      </w:r>
      <w:r>
        <w:t xml:space="preserve"> </w:t>
      </w:r>
      <w:r>
        <w:t xml:space="preserve">for breach (unvested options forfeit if non-compete breached)</w:t>
      </w:r>
    </w:p>
    <w:p>
      <w:pPr>
        <w:numPr>
          <w:ilvl w:val="0"/>
          <w:numId w:val="1030"/>
        </w:numPr>
        <w:pStyle w:val="Compact"/>
      </w:pPr>
      <w:r>
        <w:rPr>
          <w:b/>
        </w:rPr>
        <w:t xml:space="preserve">Gratuity Eligibility &amp; Calculation:</w:t>
      </w:r>
    </w:p>
    <w:p>
      <w:pPr>
        <w:numPr>
          <w:ilvl w:val="1"/>
          <w:numId w:val="1036"/>
        </w:numPr>
        <w:pStyle w:val="Compact"/>
      </w:pPr>
      <w:r>
        <w:t xml:space="preserve">Section 3.3 references Gratuity Act. Confirm:</w:t>
      </w:r>
    </w:p>
    <w:p>
      <w:pPr>
        <w:numPr>
          <w:ilvl w:val="2"/>
          <w:numId w:val="1037"/>
        </w:numPr>
        <w:pStyle w:val="Compact"/>
      </w:pPr>
      <w:r>
        <w:t xml:space="preserve">If role is managerial/senior, gratuity may have different limits.</w:t>
      </w:r>
    </w:p>
    <w:p>
      <w:pPr>
        <w:numPr>
          <w:ilvl w:val="2"/>
          <w:numId w:val="1037"/>
        </w:numPr>
        <w:pStyle w:val="Compact"/>
      </w:pPr>
      <w:r>
        <w:t xml:space="preserve">Gratuity formula: 15 days × years of service (no daily-wages averaging needed if basic salary is fixed).</w:t>
      </w:r>
    </w:p>
    <w:p>
      <w:pPr>
        <w:numPr>
          <w:ilvl w:val="2"/>
          <w:numId w:val="1037"/>
        </w:numPr>
        <w:pStyle w:val="Compact"/>
      </w:pPr>
      <w:r>
        <w:t xml:space="preserve">Limit ₹20L currently (check for statutory increases).</w:t>
      </w:r>
    </w:p>
    <w:p>
      <w:pPr>
        <w:numPr>
          <w:ilvl w:val="0"/>
          <w:numId w:val="1030"/>
        </w:numPr>
        <w:pStyle w:val="Compact"/>
      </w:pPr>
      <w:r>
        <w:rPr>
          <w:b/>
        </w:rPr>
        <w:t xml:space="preserve">Statutory Bonus (Payment of Bonus Act, 1965):</w:t>
      </w:r>
    </w:p>
    <w:p>
      <w:pPr>
        <w:numPr>
          <w:ilvl w:val="1"/>
          <w:numId w:val="1038"/>
        </w:numPr>
        <w:pStyle w:val="Compact"/>
      </w:pPr>
      <w:r>
        <w:t xml:space="preserve">Bonus eligibility requires minimum wages per Bonus Act (typically ₹15,000 minimum monthly wage; adjusts periodically).</w:t>
      </w:r>
    </w:p>
    <w:p>
      <w:pPr>
        <w:numPr>
          <w:ilvl w:val="1"/>
          <w:numId w:val="1038"/>
        </w:numPr>
        <w:pStyle w:val="Compact"/>
      </w:pPr>
      <w:r>
        <w:t xml:space="preserve">Bonus is 8.33% of wages (or higher if Company policy offers more).</w:t>
      </w:r>
    </w:p>
    <w:p>
      <w:pPr>
        <w:numPr>
          <w:ilvl w:val="1"/>
          <w:numId w:val="1038"/>
        </w:numPr>
        <w:pStyle w:val="Compact"/>
      </w:pPr>
      <w:r>
        <w:t xml:space="preserve">Calculation basis: 12 months’ wages ÷ annual bonus rate.</w:t>
      </w:r>
    </w:p>
    <w:p>
      <w:pPr>
        <w:numPr>
          <w:ilvl w:val="1"/>
          <w:numId w:val="1038"/>
        </w:numPr>
        <w:pStyle w:val="Compact"/>
      </w:pPr>
      <w:r>
        <w:t xml:space="preserve">Confirm this offer letter’s Variable Bonus (Section 2.2) is</w:t>
      </w:r>
      <w:r>
        <w:t xml:space="preserve"> </w:t>
      </w:r>
      <w:r>
        <w:rPr>
          <w:b/>
        </w:rPr>
        <w:t xml:space="preserve">in addition to</w:t>
      </w:r>
      <w:r>
        <w:t xml:space="preserve"> </w:t>
      </w:r>
      <w:r>
        <w:t xml:space="preserve">statutory bonus, not a replacement.</w:t>
      </w:r>
    </w:p>
    <w:p>
      <w:pPr>
        <w:numPr>
          <w:ilvl w:val="0"/>
          <w:numId w:val="1030"/>
        </w:numPr>
        <w:pStyle w:val="Compact"/>
      </w:pPr>
      <w:r>
        <w:rPr>
          <w:b/>
        </w:rPr>
        <w:t xml:space="preserve">Maternity &amp; Paternity Leave:</w:t>
      </w:r>
    </w:p>
    <w:p>
      <w:pPr>
        <w:numPr>
          <w:ilvl w:val="1"/>
          <w:numId w:val="1039"/>
        </w:numPr>
        <w:pStyle w:val="Compact"/>
      </w:pPr>
      <w:r>
        <w:rPr>
          <w:b/>
        </w:rPr>
        <w:t xml:space="preserve">Maternity:</w:t>
      </w:r>
      <w:r>
        <w:t xml:space="preserve"> </w:t>
      </w:r>
      <w:r>
        <w:t xml:space="preserve">26 weeks (mandatory per Maternity Benefit Act). Offer letter states 26 weeks; verify against any state-specific entitlements (Karnataka: 26 weeks per MMA 1961, with some additional state benefits possible).</w:t>
      </w:r>
    </w:p>
    <w:p>
      <w:pPr>
        <w:numPr>
          <w:ilvl w:val="1"/>
          <w:numId w:val="1039"/>
        </w:numPr>
        <w:pStyle w:val="Compact"/>
      </w:pPr>
      <w:r>
        <w:rPr>
          <w:b/>
        </w:rPr>
        <w:t xml:space="preserve">Paternity:</w:t>
      </w:r>
      <w:r>
        <w:t xml:space="preserve"> </w:t>
      </w:r>
      <w:r>
        <w:t xml:space="preserve">5 days is Government recommendation; private employers often offer more. Confirm Company’s policy and update if warranted.</w:t>
      </w:r>
    </w:p>
    <w:p>
      <w:pPr>
        <w:numPr>
          <w:ilvl w:val="0"/>
          <w:numId w:val="1030"/>
        </w:numPr>
        <w:pStyle w:val="Compact"/>
      </w:pPr>
      <w:r>
        <w:rPr>
          <w:b/>
        </w:rPr>
        <w:t xml:space="preserve">Health Insurance Dependents:</w:t>
      </w:r>
    </w:p>
    <w:p>
      <w:pPr>
        <w:numPr>
          <w:ilvl w:val="1"/>
          <w:numId w:val="1040"/>
        </w:numPr>
        <w:pStyle w:val="Compact"/>
      </w:pPr>
      <w:r>
        <w:t xml:space="preserve">Section 3.2 limits dependent coverage to spouse + 2 children &lt;25 years old. Verify this aligns with:</w:t>
      </w:r>
    </w:p>
    <w:p>
      <w:pPr>
        <w:numPr>
          <w:ilvl w:val="2"/>
          <w:numId w:val="1041"/>
        </w:numPr>
        <w:pStyle w:val="Compact"/>
      </w:pPr>
      <w:r>
        <w:t xml:space="preserve">Company’s group insurance policy terms (insurer’s definition of dependents)</w:t>
      </w:r>
    </w:p>
    <w:p>
      <w:pPr>
        <w:numPr>
          <w:ilvl w:val="2"/>
          <w:numId w:val="1041"/>
        </w:numPr>
        <w:pStyle w:val="Compact"/>
      </w:pPr>
      <w:r>
        <w:t xml:space="preserve">Company’s written policy (some companies offer domestic partner coverage, parent coverage)</w:t>
      </w:r>
    </w:p>
    <w:p>
      <w:pPr>
        <w:numPr>
          <w:ilvl w:val="1"/>
          <w:numId w:val="1040"/>
        </w:numPr>
        <w:pStyle w:val="Compact"/>
      </w:pPr>
      <w:r>
        <w:t xml:space="preserve">If coverage is broader than stated, update.</w:t>
      </w:r>
    </w:p>
    <w:p>
      <w:pPr>
        <w:numPr>
          <w:ilvl w:val="0"/>
          <w:numId w:val="1030"/>
        </w:numPr>
        <w:pStyle w:val="Compact"/>
      </w:pPr>
      <w:r>
        <w:rPr>
          <w:b/>
        </w:rPr>
        <w:t xml:space="preserve">Sexual Harassment &amp; POSH Compliance:</w:t>
      </w:r>
    </w:p>
    <w:p>
      <w:pPr>
        <w:numPr>
          <w:ilvl w:val="1"/>
          <w:numId w:val="1042"/>
        </w:numPr>
        <w:pStyle w:val="Compact"/>
      </w:pPr>
      <w:r>
        <w:t xml:space="preserve">Section 10.2 references the POSH Act Internal Committee. Verify:</w:t>
      </w:r>
    </w:p>
    <w:p>
      <w:pPr>
        <w:numPr>
          <w:ilvl w:val="2"/>
          <w:numId w:val="1043"/>
        </w:numPr>
        <w:pStyle w:val="Compact"/>
      </w:pPr>
      <w:r>
        <w:t xml:space="preserve">IC has been formally constituted (names, designations, meeting records).</w:t>
      </w:r>
    </w:p>
    <w:p>
      <w:pPr>
        <w:numPr>
          <w:ilvl w:val="2"/>
          <w:numId w:val="1043"/>
        </w:numPr>
        <w:pStyle w:val="Compact"/>
      </w:pPr>
      <w:r>
        <w:t xml:space="preserve">IC Chair contact details are current.</w:t>
      </w:r>
    </w:p>
    <w:p>
      <w:pPr>
        <w:numPr>
          <w:ilvl w:val="2"/>
          <w:numId w:val="1043"/>
        </w:numPr>
        <w:pStyle w:val="Compact"/>
      </w:pPr>
      <w:r>
        <w:t xml:space="preserve">POSH Policy has been published and shared with all employees.</w:t>
      </w:r>
    </w:p>
    <w:p>
      <w:pPr>
        <w:numPr>
          <w:ilvl w:val="1"/>
          <w:numId w:val="1042"/>
        </w:numPr>
        <w:pStyle w:val="Compact"/>
      </w:pPr>
      <w:r>
        <w:t xml:space="preserve">If Company is newly formed (&lt;50 employees), POSH Act exempts firms &lt;50 headcount; update Section 10.2 accordingly.</w:t>
      </w:r>
    </w:p>
    <w:p>
      <w:pPr>
        <w:numPr>
          <w:ilvl w:val="0"/>
          <w:numId w:val="1030"/>
        </w:numPr>
        <w:pStyle w:val="Compact"/>
      </w:pPr>
      <w:r>
        <w:rPr>
          <w:b/>
        </w:rPr>
        <w:t xml:space="preserve">Termination for Cause Definition:</w:t>
      </w:r>
    </w:p>
    <w:p>
      <w:pPr>
        <w:numPr>
          <w:ilvl w:val="1"/>
          <w:numId w:val="1044"/>
        </w:numPr>
        <w:pStyle w:val="Compact"/>
      </w:pPr>
      <w:r>
        <w:t xml:space="preserve">Section 11.1 lists causes for termination without notice. Ensure this aligns with:</w:t>
      </w:r>
    </w:p>
    <w:p>
      <w:pPr>
        <w:numPr>
          <w:ilvl w:val="2"/>
          <w:numId w:val="1045"/>
        </w:numPr>
        <w:pStyle w:val="Compact"/>
      </w:pPr>
      <w:r>
        <w:t xml:space="preserve">Company’s Disciplinary Policy (not provided in template; should cross-reference).</w:t>
      </w:r>
    </w:p>
    <w:p>
      <w:pPr>
        <w:numPr>
          <w:ilvl w:val="2"/>
          <w:numId w:val="1045"/>
        </w:numPr>
        <w:pStyle w:val="Compact"/>
      </w:pPr>
      <w:r>
        <w:t xml:space="preserve">Industrial Disputes Act, §25 (common law principles of</w:t>
      </w:r>
      <w:r>
        <w:t xml:space="preserve"> </w:t>
      </w:r>
      <w:r>
        <w:t xml:space="preserve">“</w:t>
      </w:r>
      <w:r>
        <w:t xml:space="preserve">just cause</w:t>
      </w:r>
      <w:r>
        <w:t xml:space="preserve">”</w:t>
      </w:r>
      <w:r>
        <w:t xml:space="preserve">).</w:t>
      </w:r>
    </w:p>
    <w:p>
      <w:pPr>
        <w:numPr>
          <w:ilvl w:val="1"/>
          <w:numId w:val="1044"/>
        </w:numPr>
        <w:pStyle w:val="Compact"/>
      </w:pPr>
      <w:r>
        <w:t xml:space="preserve">Consider whether the listed causes are enforceable or if courts might find some (e.g.,</w:t>
      </w:r>
      <w:r>
        <w:t xml:space="preserve"> </w:t>
      </w:r>
      <w:r>
        <w:t xml:space="preserve">“</w:t>
      </w:r>
      <w:r>
        <w:t xml:space="preserve">incompetence</w:t>
      </w:r>
      <w:r>
        <w:t xml:space="preserve">”</w:t>
      </w:r>
      <w:r>
        <w:t xml:space="preserve">) too vague.</w:t>
      </w:r>
    </w:p>
    <w:p>
      <w:pPr>
        <w:numPr>
          <w:ilvl w:val="0"/>
          <w:numId w:val="1030"/>
        </w:numPr>
        <w:pStyle w:val="Compact"/>
      </w:pPr>
      <w:r>
        <w:rPr>
          <w:b/>
        </w:rPr>
        <w:t xml:space="preserve">Severance &amp; Statutory Compliance:</w:t>
      </w:r>
    </w:p>
    <w:p>
      <w:pPr>
        <w:numPr>
          <w:ilvl w:val="1"/>
          <w:numId w:val="1046"/>
        </w:numPr>
        <w:pStyle w:val="Compact"/>
      </w:pPr>
      <w:r>
        <w:t xml:space="preserve">Section 11.2 (Termination without Cause) specifies statutory gratuity (≥5 years) and pro-rata bonus.</w:t>
      </w:r>
    </w:p>
    <w:p>
      <w:pPr>
        <w:numPr>
          <w:ilvl w:val="1"/>
          <w:numId w:val="1046"/>
        </w:numPr>
        <w:pStyle w:val="Compact"/>
      </w:pPr>
      <w:r>
        <w:t xml:space="preserve">Verify if your Company intends to pay</w:t>
      </w:r>
      <w:r>
        <w:t xml:space="preserve"> </w:t>
      </w:r>
      <w:r>
        <w:rPr>
          <w:b/>
        </w:rPr>
        <w:t xml:space="preserve">additional severance</w:t>
      </w:r>
      <w:r>
        <w:t xml:space="preserve"> </w:t>
      </w:r>
      <w:r>
        <w:t xml:space="preserve">beyond statutory minimums (many startups offer 1–3 months extra as goodwill).</w:t>
      </w:r>
    </w:p>
    <w:p>
      <w:pPr>
        <w:numPr>
          <w:ilvl w:val="1"/>
          <w:numId w:val="1046"/>
        </w:numPr>
        <w:pStyle w:val="Compact"/>
      </w:pPr>
      <w:r>
        <w:t xml:space="preserve">Confirm</w:t>
      </w:r>
      <w:r>
        <w:t xml:space="preserve"> </w:t>
      </w:r>
      <w:r>
        <w:rPr>
          <w:b/>
        </w:rPr>
        <w:t xml:space="preserve">retrenchment compensation</w:t>
      </w:r>
      <w:r>
        <w:t xml:space="preserve"> </w:t>
      </w:r>
      <w:r>
        <w:t xml:space="preserve">per Industrial Disputes Act (if applicable — typically 15 days’ wages × years of service, in addition to gratuity).</w:t>
      </w:r>
    </w:p>
    <w:p>
      <w:pPr>
        <w:numPr>
          <w:ilvl w:val="0"/>
          <w:numId w:val="1030"/>
        </w:numPr>
        <w:pStyle w:val="Compact"/>
      </w:pPr>
      <w:r>
        <w:rPr>
          <w:b/>
        </w:rPr>
        <w:t xml:space="preserve">Medical Examination Sensitivity:</w:t>
      </w:r>
    </w:p>
    <w:p>
      <w:pPr>
        <w:numPr>
          <w:ilvl w:val="1"/>
          <w:numId w:val="1047"/>
        </w:numPr>
        <w:pStyle w:val="Compact"/>
      </w:pPr>
      <w:r>
        <w:t xml:space="preserve">Section 12.2 permits medical exams to determine fitness. Ensure:</w:t>
      </w:r>
    </w:p>
    <w:p>
      <w:pPr>
        <w:numPr>
          <w:ilvl w:val="2"/>
          <w:numId w:val="1048"/>
        </w:numPr>
        <w:pStyle w:val="Compact"/>
      </w:pPr>
      <w:r>
        <w:t xml:space="preserve">Medical examination does not discriminate on basis of disability (RPWD Act, 2016).</w:t>
      </w:r>
    </w:p>
    <w:p>
      <w:pPr>
        <w:numPr>
          <w:ilvl w:val="2"/>
          <w:numId w:val="1048"/>
        </w:numPr>
        <w:pStyle w:val="Compact"/>
      </w:pPr>
      <w:r>
        <w:t xml:space="preserve">Candidate with disabilities receives reasonable accommodation (e.g., modify job requirements, not disqualify).</w:t>
      </w:r>
    </w:p>
    <w:p>
      <w:pPr>
        <w:numPr>
          <w:ilvl w:val="2"/>
          <w:numId w:val="1048"/>
        </w:numPr>
        <w:pStyle w:val="Compact"/>
      </w:pPr>
      <w:r>
        <w:t xml:space="preserve">Medical records are kept confidential (not shared with managers).</w:t>
      </w:r>
    </w:p>
    <w:p>
      <w:pPr>
        <w:numPr>
          <w:ilvl w:val="0"/>
          <w:numId w:val="1030"/>
        </w:numPr>
        <w:pStyle w:val="Compact"/>
      </w:pPr>
      <w:r>
        <w:rPr>
          <w:b/>
        </w:rPr>
        <w:t xml:space="preserve">Dispute Resolution &amp; Industrial Disputes Act:</w:t>
      </w:r>
    </w:p>
    <w:p>
      <w:pPr>
        <w:numPr>
          <w:ilvl w:val="1"/>
          <w:numId w:val="1049"/>
        </w:numPr>
        <w:pStyle w:val="Compact"/>
      </w:pPr>
      <w:r>
        <w:t xml:space="preserve">Section 13.2 references Industrial Disputes Act. Clarify:</w:t>
      </w:r>
    </w:p>
    <w:p>
      <w:pPr>
        <w:numPr>
          <w:ilvl w:val="2"/>
          <w:numId w:val="1050"/>
        </w:numPr>
        <w:pStyle w:val="Compact"/>
      </w:pPr>
      <w:r>
        <w:t xml:space="preserve">If this is a</w:t>
      </w:r>
      <w:r>
        <w:t xml:space="preserve"> </w:t>
      </w:r>
      <w:r>
        <w:t xml:space="preserve">“</w:t>
      </w:r>
      <w:r>
        <w:t xml:space="preserve">workman</w:t>
      </w:r>
      <w:r>
        <w:t xml:space="preserve">”</w:t>
      </w:r>
      <w:r>
        <w:t xml:space="preserve"> </w:t>
      </w:r>
      <w:r>
        <w:t xml:space="preserve">(defined as &lt;₹25,000 basic + allowances, typically blue-collar) or</w:t>
      </w:r>
      <w:r>
        <w:t xml:space="preserve"> </w:t>
      </w:r>
      <w:r>
        <w:t xml:space="preserve">“</w:t>
      </w:r>
      <w:r>
        <w:t xml:space="preserve">superior class</w:t>
      </w:r>
      <w:r>
        <w:t xml:space="preserve">”</w:t>
      </w:r>
      <w:r>
        <w:t xml:space="preserve"> </w:t>
      </w:r>
      <w:r>
        <w:t xml:space="preserve">(salaried, white-collar) role. ESOPs may classify as</w:t>
      </w:r>
      <w:r>
        <w:t xml:space="preserve"> </w:t>
      </w:r>
      <w:r>
        <w:t xml:space="preserve">“</w:t>
      </w:r>
      <w:r>
        <w:t xml:space="preserve">superior.</w:t>
      </w:r>
      <w:r>
        <w:t xml:space="preserve">”</w:t>
      </w:r>
    </w:p>
    <w:p>
      <w:pPr>
        <w:numPr>
          <w:ilvl w:val="2"/>
          <w:numId w:val="1050"/>
        </w:numPr>
        <w:pStyle w:val="Compact"/>
      </w:pPr>
      <w:r>
        <w:t xml:space="preserve">Industrial Disputes Act provisions (Sections 10, 25) apply only to workmen. For superior class, standard civil litigation applies.</w:t>
      </w:r>
    </w:p>
    <w:p>
      <w:pPr>
        <w:numPr>
          <w:ilvl w:val="1"/>
          <w:numId w:val="1049"/>
        </w:numPr>
        <w:pStyle w:val="Compact"/>
      </w:pPr>
      <w:r>
        <w:t xml:space="preserve">Given the offer is to a senior technical role, likely</w:t>
      </w:r>
      <w:r>
        <w:t xml:space="preserve"> </w:t>
      </w:r>
      <w:r>
        <w:rPr>
          <w:b/>
        </w:rPr>
        <w:t xml:space="preserve">not a workman</w:t>
      </w:r>
      <w:r>
        <w:t xml:space="preserve"> </w:t>
      </w:r>
      <w:r>
        <w:t xml:space="preserve">(ID Act doesn’t apply); clarify this in Section 13.1.</w:t>
      </w:r>
    </w:p>
    <w:p>
      <w:pPr>
        <w:numPr>
          <w:ilvl w:val="0"/>
          <w:numId w:val="1030"/>
        </w:numPr>
        <w:pStyle w:val="Compact"/>
      </w:pPr>
      <w:r>
        <w:rPr>
          <w:b/>
        </w:rPr>
        <w:t xml:space="preserve">Acceptance Validity &amp; Withdrawal:</w:t>
      </w:r>
    </w:p>
    <w:p>
      <w:pPr>
        <w:numPr>
          <w:ilvl w:val="1"/>
          <w:numId w:val="1051"/>
        </w:numPr>
        <w:pStyle w:val="Compact"/>
      </w:pPr>
      <w:r>
        <w:t xml:space="preserve">Section 14.1 gives candidate 10 days to accept. Counsel should confirm:</w:t>
      </w:r>
    </w:p>
    <w:p>
      <w:pPr>
        <w:numPr>
          <w:ilvl w:val="2"/>
          <w:numId w:val="1052"/>
        </w:numPr>
        <w:pStyle w:val="Compact"/>
      </w:pPr>
      <w:r>
        <w:t xml:space="preserve">Does Company reserve right to withdraw after 10 days if not accepted?</w:t>
      </w:r>
    </w:p>
    <w:p>
      <w:pPr>
        <w:numPr>
          <w:ilvl w:val="2"/>
          <w:numId w:val="1052"/>
        </w:numPr>
        <w:pStyle w:val="Compact"/>
      </w:pPr>
      <w:r>
        <w:t xml:space="preserve">Is joining date within 60 days a firm obligation, or flexible?</w:t>
      </w:r>
    </w:p>
    <w:p>
      <w:pPr>
        <w:numPr>
          <w:ilvl w:val="1"/>
          <w:numId w:val="1051"/>
        </w:numPr>
        <w:pStyle w:val="Compact"/>
      </w:pPr>
      <w:r>
        <w:t xml:space="preserve">Update if Company intends longer grace periods.</w:t>
      </w:r>
    </w:p>
    <w:p>
      <w:pPr>
        <w:numPr>
          <w:ilvl w:val="0"/>
          <w:numId w:val="1030"/>
        </w:numPr>
        <w:pStyle w:val="Compact"/>
      </w:pPr>
      <w:r>
        <w:rPr>
          <w:b/>
        </w:rPr>
        <w:t xml:space="preserve">Integration Clause &amp; No Oral Modifications:</w:t>
      </w:r>
    </w:p>
    <w:p>
      <w:pPr>
        <w:numPr>
          <w:ilvl w:val="1"/>
          <w:numId w:val="1053"/>
        </w:numPr>
        <w:pStyle w:val="Compact"/>
      </w:pPr>
      <w:r>
        <w:t xml:space="preserve">Add:</w:t>
      </w:r>
      <w:r>
        <w:t xml:space="preserve"> </w:t>
      </w:r>
      <w:r>
        <w:t xml:space="preserve">“</w:t>
      </w:r>
      <w:r>
        <w:t xml:space="preserve">This Offer Letter, together with the Company’s HR Policy Handbook (provided separately), constitutes the entire agreement. No oral promises, side letters, or Slack messages modify these terms. Any changes require written amendment signed by CEO and candidate.</w:t>
      </w:r>
      <w:r>
        <w:t xml:space="preserve">”</w:t>
      </w:r>
    </w:p>
    <w:p>
      <w:r>
        <w:pict>
          <v:rect style="width:0;height:1.5pt" o:hralign="center" o:hrstd="t" o:hr="t"/>
        </w:pict>
      </w:r>
    </w:p>
    <w:p>
      <w:pPr>
        <w:pStyle w:val="FirstParagraph"/>
      </w:pPr>
      <w:r>
        <w:rPr>
          <w:b/>
        </w:rPr>
        <w:t xml:space="preserve">END OF OFFER LETTER TEMPLATE v0.1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2026-05-01T19:21:12Z</dcterms:created>
  <dcterms:modified xsi:type="dcterms:W3CDTF">2026-05-01T19:21:12Z</dcterms:modified>
</cp:coreProperties>
</file>

<file path=docProps/custom.xml><?xml version="1.0" encoding="utf-8"?>
<Properties xmlns="http://schemas.openxmlformats.org/officeDocument/2006/custom-properties" xmlns:vt="http://schemas.openxmlformats.org/officeDocument/2006/docPropsVTypes"/>
</file>