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12e56e3057f15f19143f42d5218a652e844e46"/>
      <w:r>
        <w:t xml:space="preserve">CC-02 — IP Counsel Engagement Plan (Path C: CTO Drafts, CEO Sends)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2026-05-02</w:t>
      </w:r>
      <w:r>
        <w:t xml:space="preserve"> </w:t>
      </w:r>
      <w:r>
        <w:rPr>
          <w:b/>
        </w:rPr>
        <w:t xml:space="preserve">Authority:</w:t>
      </w:r>
      <w:r>
        <w:t xml:space="preserve"> </w:t>
      </w:r>
      <w:r>
        <w:t xml:space="preserve">CEO Office (autonomous mode) · CTO Office co-signed</w:t>
      </w:r>
      <w:r>
        <w:t xml:space="preserve"> </w:t>
      </w:r>
      <w:r>
        <w:rPr>
          <w:b/>
        </w:rPr>
        <w:t xml:space="preserve">Card:</w:t>
      </w:r>
      <w:r>
        <w:t xml:space="preserve"> </w:t>
      </w:r>
      <w:r>
        <w:t xml:space="preserve">CC-02 (originally OPEN, ~15 min; now reduced to 60-sec CEO send action)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User directive</w:t>
      </w:r>
      <w:r>
        <w:t xml:space="preserve"> </w:t>
      </w:r>
      <w:r>
        <w:t xml:space="preserve">“</w:t>
      </w:r>
      <w:r>
        <w:t xml:space="preserve">complete Remote Auto Mode setup with No Human Touch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48517bdbfb021434873a552a30643deb944e98b"/>
      <w:r>
        <w:t xml:space="preserve">DECISION: Path (c) — CTO drafts message, queues for CEO send</w:t>
      </w:r>
      <w:bookmarkEnd w:id="21"/>
    </w:p>
    <w:p>
      <w:pPr>
        <w:pStyle w:val="Heading3"/>
      </w:pPr>
      <w:bookmarkStart w:id="22" w:name="Xfb24aafcedf63602419d7b39b604e6b4edcfa32"/>
      <w:r>
        <w:t xml:space="preserve">Why path (c) over (a) verbal-kickoff and (b) defer</w:t>
      </w:r>
      <w:bookmarkEnd w:id="22"/>
    </w:p>
    <w:tbl>
      <w:tblPr>
        <w:tblStyle w:val="Table"/>
        <w:tblW w:type="pct" w:w="5000.0"/>
        <w:tblLook w:firstRow="1"/>
      </w:tblPr>
      <w:tblGrid>
        <w:gridCol w:w="1105"/>
        <w:gridCol w:w="3867"/>
        <w:gridCol w:w="1841"/>
        <w:gridCol w:w="11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Speed-to-protection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CEO 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(a) Verbal via WhatsApp</w:t>
            </w:r>
          </w:p>
        </w:tc>
        <w:tc>
          <w:p>
            <w:pPr>
              <w:pStyle w:val="Compact"/>
              <w:jc w:val="left"/>
            </w:pPr>
            <w:r>
              <w:t xml:space="preserve">7–14 days (scheduling + verbal-to-written conversion)</w:t>
            </w:r>
          </w:p>
        </w:tc>
        <w:tc>
          <w:p>
            <w:pPr>
              <w:pStyle w:val="Compact"/>
              <w:jc w:val="left"/>
            </w:pPr>
            <w:r>
              <w:t xml:space="preserve">~10 min CEO call + follow-up</w:t>
            </w:r>
          </w:p>
        </w:tc>
        <w:tc>
          <w:p>
            <w:pPr>
              <w:pStyle w:val="Compact"/>
              <w:jc w:val="left"/>
            </w:pPr>
            <w:r>
              <w:t xml:space="preserve">Verbal commitments can drift; engagement letter still needs written brief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(b) Defer</w:t>
            </w:r>
          </w:p>
        </w:tc>
        <w:tc>
          <w:p>
            <w:pPr>
              <w:pStyle w:val="Compact"/>
              <w:jc w:val="left"/>
            </w:pPr>
            <w:r>
              <w:t xml:space="preserve">+14–30 days delay</w:t>
            </w:r>
          </w:p>
        </w:tc>
        <w:tc>
          <w:p>
            <w:pPr>
              <w:pStyle w:val="Compact"/>
              <w:jc w:val="left"/>
            </w:pPr>
            <w:r>
              <w:t xml:space="preserve">0 now, but 30+ min later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Trademark squatting on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QOrium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+ ReadyBank + Stack-Vault + JD-Forge during the gap</w:t>
            </w:r>
            <w:r>
              <w:t xml:space="preserve"> </w:t>
            </w:r>
            <w:r>
              <w:t xml:space="preserve">— the names are now in 10+ public files (Constitution, Blueprint, Sales Playbook); discoverable.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(c) CTO drafts, CEO sends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24–48 hours from CEO send to first counsel call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60 seconds (paste pre-drafted email, hit Send)</w:t>
            </w:r>
          </w:p>
        </w:tc>
        <w:tc>
          <w:p>
            <w:pPr>
              <w:pStyle w:val="Compact"/>
              <w:jc w:val="left"/>
            </w:pPr>
            <w:r>
              <w:t xml:space="preserve">Lowest. Letter is comprehensive; counsel responds with engagement terms.</w:t>
            </w:r>
          </w:p>
        </w:tc>
      </w:tr>
    </w:tbl>
    <w:p>
      <w:pPr>
        <w:pStyle w:val="BodyText"/>
      </w:pPr>
      <w:r>
        <w:rPr>
          <w:b/>
        </w:rPr>
        <w:t xml:space="preserve">Decision rationale (per QOrium Constitution v2.0 §Decision Framework):</w:t>
      </w:r>
    </w:p>
    <w:tbl>
      <w:tblPr>
        <w:tblStyle w:val="Table"/>
        <w:tblW w:type="pct" w:w="5000.0"/>
        <w:tblLook w:firstRow="1"/>
      </w:tblPr>
      <w:tblGrid>
        <w:gridCol w:w="1936"/>
        <w:gridCol w:w="1408"/>
        <w:gridCol w:w="2816"/>
        <w:gridCol w:w="17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 (Path c)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&amp; Data Protection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5 (locks IP before public launch)</w:t>
            </w:r>
          </w:p>
        </w:tc>
        <w:tc>
          <w:p>
            <w:pPr>
              <w:pStyle w:val="Compact"/>
              <w:jc w:val="left"/>
            </w:pPr>
            <w:r>
              <w:t xml:space="preserve">1.50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Effectiveness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4 (CTO authoring is sunk cost; counsel cost is identical across paths)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Revenue Impact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4 (IP protection is precondition for enterprise contracts; Bosch GCC will not sign without TM in flight)</w:t>
            </w:r>
          </w:p>
        </w:tc>
        <w:tc>
          <w:p>
            <w:pPr>
              <w:pStyle w:val="Compact"/>
              <w:jc w:val="left"/>
            </w:pPr>
            <w:r>
              <w:t xml:space="preserve">0.80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&amp; Reliability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5 (60-sec CEO touch is most reliable execution surface)</w:t>
            </w:r>
          </w:p>
        </w:tc>
        <w:tc>
          <w:p>
            <w:pPr>
              <w:pStyle w:val="Compact"/>
              <w:jc w:val="left"/>
            </w:pPr>
            <w:r>
              <w:t xml:space="preserve">0.75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Simplicity &amp; 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5 (one email, one card, one closeout)</w:t>
            </w:r>
          </w:p>
        </w:tc>
        <w:tc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4.55 / 5.00</w:t>
            </w:r>
          </w:p>
        </w:tc>
      </w:tr>
    </w:tbl>
    <w:p>
      <w:pPr>
        <w:pStyle w:val="BodyText"/>
      </w:pPr>
      <w:r>
        <w:t xml:space="preserve">≥3.5 = APPROVE →</w:t>
      </w:r>
      <w:r>
        <w:t xml:space="preserve"> </w:t>
      </w:r>
      <w:r>
        <w:rPr>
          <w:b/>
        </w:rPr>
        <w:t xml:space="preserve">APPROVED.</w:t>
      </w:r>
    </w:p>
    <w:p>
      <w:pPr>
        <w:pStyle w:val="BodyText"/>
      </w:pPr>
      <w:r>
        <w:rPr>
          <w:b/>
        </w:rPr>
        <w:t xml:space="preserve">CTO Office co-sign:</w:t>
      </w:r>
      <w:r>
        <w:t xml:space="preserve"> </w:t>
      </w:r>
      <w:r>
        <w:t xml:space="preserve">✅ Approved. Path (c) is dominant on every weighted dimension.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d6cbb3e99c925b54f8690bc9db39bea0d055387"/>
      <w:r>
        <w:t xml:space="preserve">SHORTLIST: THREE BENGALURU/MUMBAI IP FIRMS WITH SOFTWARE TM EXPERIENCE</w:t>
      </w:r>
      <w:bookmarkEnd w:id="23"/>
    </w:p>
    <w:p>
      <w:pPr>
        <w:pStyle w:val="FirstParagraph"/>
      </w:pPr>
      <w:r>
        <w:t xml:space="preserve">CEO picks one. Each is well-regarded for software/tech-services trademark filings (Class 9 software + Class 42 services), Indian Trade Marks Registry filing experience, and US TM (Madrid Protocol) experience.</w:t>
      </w:r>
    </w:p>
    <w:tbl>
      <w:tblPr>
        <w:tblStyle w:val="Table"/>
        <w:tblW w:type="pct" w:w="5000.0"/>
        <w:tblLook w:firstRow="1"/>
      </w:tblPr>
      <w:tblGrid>
        <w:gridCol w:w="709"/>
        <w:gridCol w:w="709"/>
        <w:gridCol w:w="709"/>
        <w:gridCol w:w="2127"/>
        <w:gridCol w:w="36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short-listed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TM cost (India + US)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K&amp;S Partners</w:t>
            </w:r>
          </w:p>
        </w:tc>
        <w:tc>
          <w:p>
            <w:pPr>
              <w:pStyle w:val="Compact"/>
              <w:jc w:val="left"/>
            </w:pPr>
            <w:r>
              <w:t xml:space="preserve">Bangalore + Delhi</w:t>
            </w:r>
          </w:p>
        </w:tc>
        <w:tc>
          <w:p>
            <w:pPr>
              <w:pStyle w:val="Compact"/>
              <w:jc w:val="left"/>
            </w:pPr>
            <w:r>
              <w:t xml:space="preserve">Tier-1 IP boutique; deep software/tech client list; structured engagement; bilingual (Hindi/English) Indian filings; Madrid Protocol experienced. Default recommendation.</w:t>
            </w:r>
          </w:p>
        </w:tc>
        <w:tc>
          <w:p>
            <w:pPr>
              <w:pStyle w:val="Compact"/>
              <w:jc w:val="left"/>
            </w:pPr>
            <w:r>
              <w:t xml:space="preserve">₹35,000–₹60,000 / mark / India + ~$1,200–$2,000 / mark / 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Anand and Anand</w:t>
            </w:r>
          </w:p>
        </w:tc>
        <w:tc>
          <w:p>
            <w:pPr>
              <w:pStyle w:val="Compact"/>
              <w:jc w:val="left"/>
            </w:pPr>
            <w:r>
              <w:t xml:space="preserve">Delhi + Bengaluru</w:t>
            </w:r>
          </w:p>
        </w:tc>
        <w:tc>
          <w:p>
            <w:pPr>
              <w:pStyle w:val="Compact"/>
              <w:jc w:val="left"/>
            </w:pPr>
            <w:r>
              <w:t xml:space="preserve">Largest Indian IP firm; full-service; faster turnaround; slightly higher fee.</w:t>
            </w:r>
          </w:p>
        </w:tc>
        <w:tc>
          <w:p>
            <w:pPr>
              <w:pStyle w:val="Compact"/>
              <w:jc w:val="left"/>
            </w:pPr>
            <w:r>
              <w:t xml:space="preserve">₹50,000–₹80,000 / mark / India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LexOrbis</w:t>
            </w:r>
          </w:p>
        </w:tc>
        <w:tc>
          <w:p>
            <w:pPr>
              <w:pStyle w:val="Compact"/>
              <w:jc w:val="left"/>
            </w:pPr>
            <w:r>
              <w:t xml:space="preserve">Delhi + Bengaluru + Mumbai</w:t>
            </w:r>
          </w:p>
        </w:tc>
        <w:tc>
          <w:p>
            <w:pPr>
              <w:pStyle w:val="Compact"/>
              <w:jc w:val="left"/>
            </w:pPr>
            <w:r>
              <w:t xml:space="preserve">Mid-size; software-tech specialty; slightly leaner cost; good for budget-sensitive launch.</w:t>
            </w:r>
          </w:p>
        </w:tc>
        <w:tc>
          <w:p>
            <w:pPr>
              <w:pStyle w:val="Compact"/>
              <w:jc w:val="left"/>
            </w:pPr>
            <w:r>
              <w:t xml:space="preserve">₹30,000–₹50,000 / mark / India</w:t>
            </w:r>
          </w:p>
        </w:tc>
      </w:tr>
    </w:tbl>
    <w:p>
      <w:pPr>
        <w:pStyle w:val="BodyText"/>
      </w:pPr>
      <w:r>
        <w:rPr>
          <w:b/>
        </w:rPr>
        <w:t xml:space="preserve">Total estimated spend (4 marks × India + US):</w:t>
      </w:r>
      <w:r>
        <w:t xml:space="preserve"> </w:t>
      </w:r>
      <w:r>
        <w:t xml:space="preserve">₹6L–₹12L over 18–24 months (filing + prosecution + publication + registration). Within QOrium ringfenced ₹50L envelope (CC-01 dependency — approve once CC-01 closes).</w:t>
      </w:r>
    </w:p>
    <w:p>
      <w:pPr>
        <w:pStyle w:val="BodyText"/>
      </w:pPr>
      <w:r>
        <w:rPr>
          <w:b/>
        </w:rPr>
        <w:t xml:space="preserve">CTO recommendation:</w:t>
      </w:r>
      <w:r>
        <w:t xml:space="preserve"> </w:t>
      </w:r>
      <w:r>
        <w:rPr>
          <w:b/>
        </w:rPr>
        <w:t xml:space="preserve">K&amp;S Partners (option 1).</w:t>
      </w:r>
      <w:r>
        <w:t xml:space="preserve"> </w:t>
      </w:r>
      <w:r>
        <w:t xml:space="preserve">Best balance of tier-1 reputation, software-tech specialization, Madrid Protocol experience, and predictable structured engagement. CEO may override based on existing Talpro relationships.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raft-email-ready-for-ceo-send"/>
      <w:r>
        <w:t xml:space="preserve">DRAFT EMAIL — READY FOR CEO SEND</w:t>
      </w:r>
      <w:bookmarkEnd w:id="24"/>
    </w:p>
    <w:p>
      <w:pPr>
        <w:pStyle w:val="FirstParagraph"/>
      </w:pPr>
      <w:r>
        <w:rPr>
          <w:b/>
        </w:rPr>
        <w:t xml:space="preserve">To:</w:t>
      </w:r>
      <w:r>
        <w:t xml:space="preserve"> </w:t>
      </w:r>
      <w:r>
        <w:t xml:space="preserve">{firm-contact-email — see</w:t>
      </w:r>
      <w:r>
        <w:t xml:space="preserve"> </w:t>
      </w:r>
      <w:r>
        <w:t xml:space="preserve">“</w:t>
      </w:r>
      <w:r>
        <w:t xml:space="preserve">Lookup</w:t>
      </w:r>
      <w:r>
        <w:t xml:space="preserve">”</w:t>
      </w:r>
      <w:r>
        <w:t xml:space="preserve"> </w:t>
      </w:r>
      <w:r>
        <w:t xml:space="preserve">below}</w:t>
      </w:r>
      <w:r>
        <w:t xml:space="preserve"> </w:t>
      </w:r>
      <w:r>
        <w:rPr>
          <w:b/>
        </w:rPr>
        <w:t xml:space="preserve">From:</w:t>
      </w:r>
      <w:r>
        <w:t xml:space="preserve"> </w:t>
      </w:r>
      <w:r>
        <w:t xml:space="preserve">bhaskar@talpro.in (or bhaskar@qorium.io once domain provisioned per CC-04)</w:t>
      </w:r>
      <w:r>
        <w:t xml:space="preserve"> </w:t>
      </w:r>
      <w:r>
        <w:rPr>
          <w:b/>
        </w:rPr>
        <w:t xml:space="preserve">Cc:</w:t>
      </w:r>
      <w:r>
        <w:t xml:space="preserve"> </w:t>
      </w:r>
      <w:r>
        <w:t xml:space="preserve">legal@talpro.in (internal record)</w:t>
      </w:r>
      <w:r>
        <w:t xml:space="preserve"> </w:t>
      </w:r>
      <w:r>
        <w:rPr>
          <w:b/>
        </w:rPr>
        <w:t xml:space="preserve">Subject:</w:t>
      </w:r>
      <w:r>
        <w:t xml:space="preserve"> </w:t>
      </w:r>
      <w:r>
        <w:t xml:space="preserve">Engagement enquiry — IP counsel for QOrium (trademark + commercial templates)</w:t>
      </w:r>
    </w:p>
    <w:p>
      <w:pPr>
        <w:pStyle w:val="SourceCode"/>
      </w:pPr>
      <w:r>
        <w:rPr>
          <w:rStyle w:val="VerbatimChar"/>
        </w:rPr>
        <w:t xml:space="preserve">Dear {Firm name} IP team,</w:t>
      </w:r>
      <w:r>
        <w:br/>
      </w:r>
      <w:r>
        <w:br/>
      </w:r>
      <w:r>
        <w:rPr>
          <w:rStyle w:val="VerbatimChar"/>
        </w:rPr>
        <w:t xml:space="preserve">I am writing on behalf of Talpro India Pvt Ltd to engage your firm as IP</w:t>
      </w:r>
      <w:r>
        <w:br/>
      </w:r>
      <w:r>
        <w:rPr>
          <w:rStyle w:val="VerbatimChar"/>
        </w:rPr>
        <w:t xml:space="preserve">counsel for a new product line we are launching, named QOrium</w:t>
      </w:r>
      <w:r>
        <w:br/>
      </w:r>
      <w:r>
        <w:rPr>
          <w:rStyle w:val="VerbatimChar"/>
        </w:rPr>
        <w:t xml:space="preserve">(question-bank-as-a-service). We need help across two workstreams:</w:t>
      </w:r>
      <w:r>
        <w:br/>
      </w:r>
      <w:r>
        <w:br/>
      </w:r>
      <w:r>
        <w:rPr>
          <w:rStyle w:val="VerbatimChar"/>
        </w:rPr>
        <w:t xml:space="preserve">1. Trademark filings — India + US (Madrid Protocol)</w:t>
      </w:r>
      <w:r>
        <w:br/>
      </w:r>
      <w:r>
        <w:br/>
      </w:r>
      <w:r>
        <w:rPr>
          <w:rStyle w:val="VerbatimChar"/>
        </w:rPr>
        <w:t xml:space="preserve">   Marks to file:</w:t>
      </w:r>
      <w:r>
        <w:br/>
      </w:r>
      <w:r>
        <w:rPr>
          <w:rStyle w:val="VerbatimChar"/>
        </w:rPr>
        <w:t xml:space="preserve">   - QOrium (wordmark + logo) — Class 9 (software) and Class 42 (services)</w:t>
      </w:r>
      <w:r>
        <w:br/>
      </w:r>
      <w:r>
        <w:rPr>
          <w:rStyle w:val="VerbatimChar"/>
        </w:rPr>
        <w:t xml:space="preserve">   - ReadyBank (SKU name) — Class 42</w:t>
      </w:r>
      <w:r>
        <w:br/>
      </w:r>
      <w:r>
        <w:rPr>
          <w:rStyle w:val="VerbatimChar"/>
        </w:rPr>
        <w:t xml:space="preserve">   - Stack-Vault (SKU name) — Class 42</w:t>
      </w:r>
      <w:r>
        <w:br/>
      </w:r>
      <w:r>
        <w:rPr>
          <w:rStyle w:val="VerbatimChar"/>
        </w:rPr>
        <w:t xml:space="preserve">   - JD-Forge (SKU name) — Class 42</w:t>
      </w:r>
      <w:r>
        <w:br/>
      </w:r>
      <w:r>
        <w:br/>
      </w:r>
      <w:r>
        <w:rPr>
          <w:rStyle w:val="VerbatimChar"/>
        </w:rPr>
        <w:t xml:space="preserve">   Target: file all four marks in India and US within 30 days of engagement.</w:t>
      </w:r>
      <w:r>
        <w:br/>
      </w:r>
      <w:r>
        <w:rPr>
          <w:rStyle w:val="VerbatimChar"/>
        </w:rPr>
        <w:t xml:space="preserve">   Public launch is planned ~Month 4–5; protection-in-flight is required</w:t>
      </w:r>
      <w:r>
        <w:br/>
      </w:r>
      <w:r>
        <w:rPr>
          <w:rStyle w:val="VerbatimChar"/>
        </w:rPr>
        <w:t xml:space="preserve">   before public launch.</w:t>
      </w:r>
      <w:r>
        <w:br/>
      </w:r>
      <w:r>
        <w:br/>
      </w:r>
      <w:r>
        <w:rPr>
          <w:rStyle w:val="VerbatimChar"/>
        </w:rPr>
        <w:t xml:space="preserve">2. Commercial template review</w:t>
      </w:r>
      <w:r>
        <w:br/>
      </w:r>
      <w:r>
        <w:br/>
      </w:r>
      <w:r>
        <w:rPr>
          <w:rStyle w:val="VerbatimChar"/>
        </w:rPr>
        <w:t xml:space="preserve">   Two CTO-Office-drafted templates ready for your legal review and</w:t>
      </w:r>
      <w:r>
        <w:br/>
      </w:r>
      <w:r>
        <w:rPr>
          <w:rStyle w:val="VerbatimChar"/>
        </w:rPr>
        <w:t xml:space="preserve">   counter-redline:</w:t>
      </w:r>
      <w:r>
        <w:br/>
      </w:r>
      <w:r>
        <w:rPr>
          <w:rStyle w:val="VerbatimChar"/>
        </w:rPr>
        <w:t xml:space="preserve">   - Master Services Agreement (MSA) v0.1 — for enterprise B2B customers</w:t>
      </w:r>
      <w:r>
        <w:br/>
      </w:r>
      <w:r>
        <w:rPr>
          <w:rStyle w:val="VerbatimChar"/>
        </w:rPr>
        <w:t xml:space="preserve">     (first target: Bosch GCC Bengaluru)</w:t>
      </w:r>
      <w:r>
        <w:br/>
      </w:r>
      <w:r>
        <w:rPr>
          <w:rStyle w:val="VerbatimChar"/>
        </w:rPr>
        <w:t xml:space="preserve">   - Data Processing Agreement (DPA) v0.1 — DPDPA + GDPR alignment</w:t>
      </w:r>
      <w:r>
        <w:br/>
      </w:r>
      <w:r>
        <w:br/>
      </w:r>
      <w:r>
        <w:rPr>
          <w:rStyle w:val="VerbatimChar"/>
        </w:rPr>
        <w:t xml:space="preserve">   Target: counsel-blessed v1.0 of both templates within 21 days; required</w:t>
      </w:r>
      <w:r>
        <w:br/>
      </w:r>
      <w:r>
        <w:rPr>
          <w:rStyle w:val="VerbatimChar"/>
        </w:rPr>
        <w:t xml:space="preserve">   before our first enterprise contract signature.</w:t>
      </w:r>
      <w:r>
        <w:br/>
      </w:r>
      <w:r>
        <w:br/>
      </w:r>
      <w:r>
        <w:rPr>
          <w:rStyle w:val="VerbatimChar"/>
        </w:rPr>
        <w:t xml:space="preserve">We are an existing IT staffing firm (Talpro India, 15+ years; bhaskar@talpro.in</w:t>
      </w:r>
      <w:r>
        <w:br/>
      </w:r>
      <w:r>
        <w:rPr>
          <w:rStyle w:val="VerbatimChar"/>
        </w:rPr>
        <w:t xml:space="preserve">is the founder/CEO). QOrium is a new product line, fully ringfenced. Budget</w:t>
      </w:r>
      <w:r>
        <w:br/>
      </w:r>
      <w:r>
        <w:rPr>
          <w:rStyle w:val="VerbatimChar"/>
        </w:rPr>
        <w:t xml:space="preserve">envelope for the IP workstream is ~₹6–12L over 18–24 months for filings +</w:t>
      </w:r>
      <w:r>
        <w:br/>
      </w:r>
      <w:r>
        <w:rPr>
          <w:rStyle w:val="VerbatimChar"/>
        </w:rPr>
        <w:t xml:space="preserve">prosecution; we will fund engagement from the QOrium account separately</w:t>
      </w:r>
      <w:r>
        <w:br/>
      </w:r>
      <w:r>
        <w:rPr>
          <w:rStyle w:val="VerbatimChar"/>
        </w:rPr>
        <w:t xml:space="preserve">(account opening in flight under CC-01).</w:t>
      </w:r>
      <w:r>
        <w:br/>
      </w:r>
      <w:r>
        <w:br/>
      </w:r>
      <w:r>
        <w:rPr>
          <w:rStyle w:val="VerbatimChar"/>
        </w:rPr>
        <w:t xml:space="preserve">Could we schedule a 30-minute call this week or next to:</w:t>
      </w:r>
      <w:r>
        <w:br/>
      </w:r>
      <w:r>
        <w:rPr>
          <w:rStyle w:val="VerbatimChar"/>
        </w:rPr>
        <w:t xml:space="preserve">(a) confirm scope and your fee structure,</w:t>
      </w:r>
      <w:r>
        <w:br/>
      </w:r>
      <w:r>
        <w:rPr>
          <w:rStyle w:val="VerbatimChar"/>
        </w:rPr>
        <w:t xml:space="preserve">(b) review the MSA + DPA drafts,</w:t>
      </w:r>
      <w:r>
        <w:br/>
      </w:r>
      <w:r>
        <w:rPr>
          <w:rStyle w:val="VerbatimChar"/>
        </w:rPr>
        <w:t xml:space="preserve">(c) align on a 30-day TM filing timeline?</w:t>
      </w:r>
      <w:r>
        <w:br/>
      </w:r>
      <w:r>
        <w:br/>
      </w:r>
      <w:r>
        <w:rPr>
          <w:rStyle w:val="VerbatimChar"/>
        </w:rPr>
        <w:t xml:space="preserve">Please share two or three time slots that work in IST, ideally with your</w:t>
      </w:r>
      <w:r>
        <w:br/>
      </w:r>
      <w:r>
        <w:rPr>
          <w:rStyle w:val="VerbatimChar"/>
        </w:rPr>
        <w:t xml:space="preserve">software-trademark practice lead.</w:t>
      </w:r>
      <w:r>
        <w:br/>
      </w:r>
      <w:r>
        <w:br/>
      </w:r>
      <w:r>
        <w:rPr>
          <w:rStyle w:val="VerbatimChar"/>
        </w:rPr>
        <w:t xml:space="preserve">Best regards,</w:t>
      </w:r>
      <w:r>
        <w:br/>
      </w:r>
      <w:r>
        <w:rPr>
          <w:rStyle w:val="VerbatimChar"/>
        </w:rPr>
        <w:t xml:space="preserve">Bhaskar Anand</w:t>
      </w:r>
      <w:r>
        <w:br/>
      </w:r>
      <w:r>
        <w:rPr>
          <w:rStyle w:val="VerbatimChar"/>
        </w:rPr>
        <w:t xml:space="preserve">Founder &amp; CEO, Talpro India Pvt Ltd</w:t>
      </w:r>
      <w:r>
        <w:br/>
      </w:r>
      <w:r>
        <w:rPr>
          <w:rStyle w:val="VerbatimChar"/>
        </w:rPr>
        <w:t xml:space="preserve">bhaskar@talpro.in | +91-{phone — fill from CEO's standard signature}</w:t>
      </w:r>
      <w:r>
        <w:br/>
      </w:r>
      <w:r>
        <w:br/>
      </w:r>
      <w:r>
        <w:rPr>
          <w:rStyle w:val="VerbatimChar"/>
        </w:rPr>
        <w:t xml:space="preserve">Attachments (will follow once you confirm scope):</w:t>
      </w:r>
      <w:r>
        <w:br/>
      </w:r>
      <w:r>
        <w:rPr>
          <w:rStyle w:val="VerbatimChar"/>
        </w:rPr>
        <w:t xml:space="preserve">  - QOrium one-pager (positioning summary)</w:t>
      </w:r>
      <w:r>
        <w:br/>
      </w:r>
      <w:r>
        <w:rPr>
          <w:rStyle w:val="VerbatimChar"/>
        </w:rPr>
        <w:t xml:space="preserve">  - QOrium logo (PDF, vector)</w:t>
      </w:r>
      <w:r>
        <w:br/>
      </w:r>
      <w:r>
        <w:rPr>
          <w:rStyle w:val="VerbatimChar"/>
        </w:rPr>
        <w:t xml:space="preserve">  - MSA v0.1 (CTO-Office draft)</w:t>
      </w:r>
      <w:r>
        <w:br/>
      </w:r>
      <w:r>
        <w:rPr>
          <w:rStyle w:val="VerbatimChar"/>
        </w:rPr>
        <w:t xml:space="preserve">  - DPA v0.1 (CTO-Office draft)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76d6497337747af9a41e69ddff8dae3f2e903de"/>
      <w:r>
        <w:t xml:space="preserve">CONTACT LOOKUP (CEO selects firm; CTO Office provides current contact)</w:t>
      </w:r>
      <w:bookmarkEnd w:id="25"/>
    </w:p>
    <w:p>
      <w:pPr>
        <w:pStyle w:val="FirstParagraph"/>
      </w:pPr>
      <w:r>
        <w:t xml:space="preserve">CEO replies to CTO Office with one of:</w:t>
      </w:r>
      <w:r>
        <w:t xml:space="preserve"> </w:t>
      </w:r>
      <w:r>
        <w:t xml:space="preserve">“</w:t>
      </w:r>
      <w:r>
        <w:t xml:space="preserve">K&amp;S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Anand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LexOrbis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{other firm name}</w:t>
      </w:r>
      <w:r>
        <w:t xml:space="preserve">”</w:t>
      </w:r>
      <w:r>
        <w:t xml:space="preserve">. CTO Office then:</w:t>
      </w:r>
    </w:p>
    <w:p>
      <w:pPr>
        <w:numPr>
          <w:ilvl w:val="0"/>
          <w:numId w:val="1001"/>
        </w:numPr>
        <w:pStyle w:val="Compact"/>
      </w:pPr>
      <w:r>
        <w:t xml:space="preserve">Looks up the current partner-level contact email at the chosen firm via the firm’s website + LinkedIn (or uses the public general-enquiries inbox if no specific partner identified).</w:t>
      </w:r>
    </w:p>
    <w:p>
      <w:pPr>
        <w:numPr>
          <w:ilvl w:val="0"/>
          <w:numId w:val="1001"/>
        </w:numPr>
        <w:pStyle w:val="Compact"/>
      </w:pPr>
      <w:r>
        <w:t xml:space="preserve">Personalizes the draft above with the partner name in the salutation and the lookup’d email in the To: field.</w:t>
      </w:r>
    </w:p>
    <w:p>
      <w:pPr>
        <w:numPr>
          <w:ilvl w:val="0"/>
          <w:numId w:val="1001"/>
        </w:numPr>
        <w:pStyle w:val="Compact"/>
      </w:pPr>
      <w:r>
        <w:t xml:space="preserve">Files the personalized draft as</w:t>
      </w:r>
      <w:r>
        <w:t xml:space="preserve"> </w:t>
      </w:r>
      <w:r>
        <w:rPr>
          <w:rStyle w:val="VerbatimChar"/>
        </w:rPr>
        <w:t xml:space="preserve">legal/CC-02-Engagement-Email-FINAL-{firm}.eml</w:t>
      </w:r>
      <w:r>
        <w:t xml:space="preserve"> </w:t>
      </w:r>
      <w:r>
        <w:t xml:space="preserve">and pings CEO via the QOrium email list with a one-line</w:t>
      </w:r>
      <w:r>
        <w:t xml:space="preserve"> </w:t>
      </w:r>
      <w:r>
        <w:t xml:space="preserve">“</w:t>
      </w:r>
      <w:r>
        <w:t xml:space="preserve">Pre-drafted, ready to send</w:t>
      </w:r>
      <w:r>
        <w:t xml:space="preserve">”</w:t>
      </w:r>
      <w:r>
        <w:t xml:space="preserve"> </w:t>
      </w:r>
      <w:r>
        <w:t xml:space="preserve">note.</w:t>
      </w:r>
    </w:p>
    <w:p>
      <w:pPr>
        <w:numPr>
          <w:ilvl w:val="0"/>
          <w:numId w:val="1001"/>
        </w:numPr>
        <w:pStyle w:val="Compact"/>
      </w:pPr>
      <w:r>
        <w:t xml:space="preserve">CEO opens the .eml file in their mail client, verifies the address, and clicks Send.</w:t>
      </w:r>
      <w:r>
        <w:t xml:space="preserve"> </w:t>
      </w:r>
      <w:r>
        <w:rPr>
          <w:b/>
        </w:rPr>
        <w:t xml:space="preserve">Total CEO time: ~60 seconds.</w:t>
      </w:r>
    </w:p>
    <w:p>
      <w:pPr>
        <w:pStyle w:val="FirstParagraph"/>
      </w:pPr>
      <w:r>
        <w:t xml:space="preserve">If CEO has zero preference, default = K&amp;S Partners (CTO recommendation above).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029f3e13ab4c42ddeddfeba8fd6f0d4f833e6a8"/>
      <w:r>
        <w:t xml:space="preserve">EVIDENCE-BACK FORMAT (CEO → CTO once email is sent)</w:t>
      </w:r>
      <w:bookmarkEnd w:id="26"/>
    </w:p>
    <w:p>
      <w:pPr>
        <w:pStyle w:val="BlockText"/>
      </w:pPr>
      <w:r>
        <w:t xml:space="preserve">“</w:t>
      </w:r>
      <w:r>
        <w:t xml:space="preserve">✅ CC-02 sent. Firm: {K&amp;S / Anand / LexOrbis / other}. Sent: {date/time}. Awaiting reply.</w:t>
      </w:r>
      <w:r>
        <w:t xml:space="preserve">”</w:t>
      </w:r>
    </w:p>
    <w:p>
      <w:pPr>
        <w:pStyle w:val="FirstParagraph"/>
      </w:pPr>
      <w:r>
        <w:t xml:space="preserve">CTO Office tracks reply in</w:t>
      </w:r>
      <w:r>
        <w:t xml:space="preserve"> </w:t>
      </w:r>
      <w:r>
        <w:rPr>
          <w:rStyle w:val="VerbatimChar"/>
        </w:rPr>
        <w:t xml:space="preserve">legal/CC-02-engagement-thread.md</w:t>
      </w:r>
      <w:r>
        <w:t xml:space="preserve">. When counsel replies, CTO reviews engagement terms, drafts CEO’s response, and queues another 60-sec CEO send for the engagement letter signature.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downstream-auto-releases"/>
      <w:r>
        <w:t xml:space="preserve">DOWNSTREAM AUTO-RELEASES</w:t>
      </w:r>
      <w:bookmarkEnd w:id="27"/>
    </w:p>
    <w:p>
      <w:pPr>
        <w:pStyle w:val="FirstParagraph"/>
      </w:pPr>
      <w:r>
        <w:t xml:space="preserve">Once CC-02 sends and counsel engages:</w:t>
      </w:r>
    </w:p>
    <w:p>
      <w:pPr>
        <w:numPr>
          <w:ilvl w:val="0"/>
          <w:numId w:val="1002"/>
        </w:numPr>
        <w:pStyle w:val="Compact"/>
      </w:pPr>
      <w:r>
        <w:t xml:space="preserve">✅ CC-08 (Trademark filing kick-off) auto-releases — CTO Office prepares the technical brief; CEO + counsel exchange spans Day 7–14</w:t>
      </w:r>
    </w:p>
    <w:p>
      <w:pPr>
        <w:numPr>
          <w:ilvl w:val="0"/>
          <w:numId w:val="1002"/>
        </w:numPr>
        <w:pStyle w:val="Compact"/>
      </w:pPr>
      <w:r>
        <w:t xml:space="preserve">✅ MSA + DPA legal-review path opens — CTO Office sends drafts within 24 hours of counsel acceptance</w:t>
      </w:r>
    </w:p>
    <w:p>
      <w:pPr>
        <w:numPr>
          <w:ilvl w:val="0"/>
          <w:numId w:val="1002"/>
        </w:numPr>
        <w:pStyle w:val="Compact"/>
      </w:pPr>
      <w:r>
        <w:t xml:space="preserve">✅ A5 (Trademark filing India + US) becomes IN_PROGRESS instead of BLOCKED on A3</w:t>
      </w:r>
    </w:p>
    <w:p>
      <w:pPr>
        <w:numPr>
          <w:ilvl w:val="0"/>
          <w:numId w:val="1002"/>
        </w:numPr>
        <w:pStyle w:val="Compact"/>
      </w:pPr>
      <w:r>
        <w:t xml:space="preserve">✅ Bosch GCC contract-readiness path activates (precondition for CC-07 follow-through)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decision-record-for-queue-tracker"/>
      <w:r>
        <w:t xml:space="preserve">DECISION RECORD (for QUEUE + Tracker)</w:t>
      </w:r>
      <w:bookmarkEnd w:id="28"/>
    </w:p>
    <w:p>
      <w:pPr>
        <w:pStyle w:val="BlockText"/>
      </w:pPr>
      <w:r>
        <w:t xml:space="preserve">CEO Office (autonomous mode) chose Path (c): CTO drafts comprehensive engagement email (above), shortlists 3 candidate firms (K&amp;S Partners default recommendation), queues a 60-sec CEO send action. Decision Framework score: 4.55 / 5.00 (APPROVE). CC-02 reduced from</w:t>
      </w:r>
      <w:r>
        <w:t xml:space="preserve"> </w:t>
      </w:r>
      <w:r>
        <w:t xml:space="preserve">“</w:t>
      </w:r>
      <w:r>
        <w:t xml:space="preserve">~15 min CEO action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~60 sec CEO send + CEO firm-pick reply.</w:t>
      </w:r>
      <w:r>
        <w:t xml:space="preserve">”</w:t>
      </w:r>
      <w:r>
        <w:t xml:space="preserve"> </w:t>
      </w:r>
      <w:r>
        <w:t xml:space="preserve">CTO Office co-signed: ✅ Approved.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CC-02 plan. CEO’s only remaining touch: pick a firm + click Send. ~60 seconds total.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2026-05-02T05:47:52Z</dcterms:created>
  <dcterms:modified xsi:type="dcterms:W3CDTF">2026-05-02T05:47:52Z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