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fe260ef2f27764ba9a1dd94d8fc4d82ab20945"/>
      <w:r>
        <w:t xml:space="preserve">Sample Pack v0.6: Wave 2 Embedded Automotive (Populated)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AI-drafted v0.6 (Wave 2 Embedded Automotive — canonical 20-Q pack; supersedes v0.5 10-Q sample). SME Lead validation pending. NOT for external delivery without SME-Lead sign-off and IRT calibration. Reference baseline: AUTOSAR Classic 4.5 + Adaptive R20-11+; MISRA-C 2012 (Amendments 1-3); ISO 26262:2018 functional safety; ASPICE 3.1 process model; ISO 21434 cybersecurity; UN R155/R156 type approval.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a661b0ee999449e6965abe8c6b784cee0d63d0"/>
      <w:r>
        <w:t xml:space="preserve">Wave 2 Pack: 20 Representative Questions (Depth Extended from v0.5 10-Q Sampler)</w:t>
      </w:r>
      <w:bookmarkEnd w:id="21"/>
    </w:p>
    <w:p>
      <w:pPr>
        <w:pStyle w:val="FirstParagraph"/>
      </w:pPr>
      <w:r>
        <w:t xml:space="preserve">Difficulty distribution: 3 Easy, 9 Medium, 6 Hard, 2 Very Hard.</w:t>
      </w:r>
    </w:p>
    <w:p>
      <w:pPr>
        <w:pStyle w:val="BodyText"/>
      </w:pPr>
      <w:r>
        <w:t xml:space="preserve">Format: 12 MCQ + 4 Code + 2 Design + 2 Case Study.</w:t>
      </w:r>
    </w:p>
    <w:p>
      <w:pPr>
        <w:pStyle w:val="BodyText"/>
      </w:pPr>
      <w:r>
        <w:t xml:space="preserve">All questions follow QOrium metadata schema. Bosch GCC Bengaluru primary target per Constitution Article IX.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1a8ee3efe9c08c97071111a84606aed8f086526"/>
      <w:r>
        <w:t xml:space="preserve">AUTOSAR ARCHITECTURE (Classic + Adaptive) — 3–4 Questions</w:t>
      </w:r>
      <w:bookmarkEnd w:id="22"/>
    </w:p>
    <w:p>
      <w:pPr>
        <w:pStyle w:val="Heading3"/>
      </w:pPr>
      <w:bookmarkStart w:id="23" w:name="Xa6e17209a787e72e13ea636e383ae22a0eb7fa2"/>
      <w:r>
        <w:t xml:space="preserve">QUESTION 1: AUTOSAR Architecture Fundamentals (Easy)</w:t>
      </w:r>
      <w:bookmarkEnd w:id="2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autosar-arch-01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-1.2 (Easy)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4.5, Part 2 §6.1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AUTOSAR, what is the primary role of the Runtime Environment (RTE)?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Manage scheduling of software components and handle event/data communication between them</w:t>
      </w:r>
      <w:r>
        <w:t xml:space="preserve"> </w:t>
      </w:r>
      <w:r>
        <w:t xml:space="preserve">- B) Compile embedded C code into executable binary</w:t>
      </w:r>
      <w:r>
        <w:t xml:space="preserve"> </w:t>
      </w:r>
      <w:r>
        <w:t xml:space="preserve">- C) Replace the traditional hardware abstraction layer</w:t>
      </w:r>
      <w:r>
        <w:t xml:space="preserve"> </w:t>
      </w:r>
      <w:r>
        <w:t xml:space="preserve">- D) Execute safety checks at runtime per ISO 26262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A — The RTE is the software layer that provides abstraction between Software Components (SWCs) and the Basic Software (BSW). It handles scheduling, event propagation, and data passing between SWCs. References: AUTOSAR 4.5, Part 2 §8.3 (Runtime Environment Concept).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any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bosch-embedded-s001-qor-emba-001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gender/cultural bias detected. Language neutral, technically precise.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8da6d063985026e769874e76cc75018ad10c1a5"/>
      <w:r>
        <w:t xml:space="preserve">QUESTION 2: AUTOSAR SWC Ports &amp; Communication (Medium)</w:t>
      </w:r>
      <w:bookmarkEnd w:id="2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autosar-arch-02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0.2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4.5, Part 2 §6.5 (SWC Ports)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AUTOSAR, a Software Component (SWC) receives CAN messages via a queued port and outputs control signals via an unqueued port. Which statement about timing behavior is CORRECT?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Both ports execute synchronously at 10 ms intervals; the queued port blocks if queue is full</w:t>
      </w:r>
      <w:r>
        <w:t xml:space="preserve"> </w:t>
      </w:r>
      <w:r>
        <w:t xml:space="preserve">- B) The queued port buffers multiple CAN messages (FIFO); the unqueued port provides the latest value only (last-write-wins)</w:t>
      </w:r>
      <w:r>
        <w:t xml:space="preserve"> </w:t>
      </w:r>
      <w:r>
        <w:t xml:space="preserve">- C) Unqueued ports require event-triggered runnables; queued ports require periodic runnables</w:t>
      </w:r>
      <w:r>
        <w:t xml:space="preserve"> </w:t>
      </w:r>
      <w:r>
        <w:t xml:space="preserve">- D) The queued port is always faster than the unqueued port because it bypasses RTE scheduling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Queued ports buffer messages in FIFO order; unqueued ports always provide the most recent data. Both can use periodic or event-triggered runnables depending on design. Queued port blocking is a deployment-time configuration. References: AUTOSAR 4.5, Part 2 §6.5.2 (Queued Port Type) and §6.5.3 (Unqueued Port Type).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bosch-embedded-s001-qor-emba-002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Technical port semantics.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X10161ea375897ad1b04f57a76d2bc8169d27ddc"/>
      <w:r>
        <w:t xml:space="preserve">QUESTION 3: NvM (Non-Volatile Memory) Manager Integration (Hard)</w:t>
      </w:r>
      <w:bookmarkEnd w:id="2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autosar-arch-03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4.5, Part 8 §7.2 (NvM Interface)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AUTOSAR Runnable Entity writes calibration data to flash memory using NvM_WriteBlock. After the write request, the runnable immediately reads the same block using NvM_ReadBlock. Which scenario describes the CORRECT behavior?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ReadBlock returns stale data until WriteBlock completes; the application must wait for WriteBlock completion callback before issuing ReadBlock</w:t>
      </w:r>
      <w:r>
        <w:t xml:space="preserve"> </w:t>
      </w:r>
      <w:r>
        <w:t xml:space="preserve">- B) ReadBlock immediately returns the newly written data from the NvM buffer, bypassing flash latency</w:t>
      </w:r>
      <w:r>
        <w:t xml:space="preserve"> </w:t>
      </w:r>
      <w:r>
        <w:t xml:space="preserve">- C) Both ReadBlock and WriteBlock are synchronous and complete within the same runnable invocation (10 ms)</w:t>
      </w:r>
      <w:r>
        <w:t xml:space="preserve"> </w:t>
      </w:r>
      <w:r>
        <w:t xml:space="preserve">- D) The behavior depends on the NvM_JobEndNotification callback; NvM guarantees atomicity only if callbacks are chained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A — NvM operations are asynchronous. WriteBlock queues the request; data is not flushed to flash until the underlying memory driver finishes. ReadBlock must wait until WriteBlock’s NvM_WriteBlock completion callback indicates success. Attempting to ReadBlock before WriteBlock completes will return the old cached data or an error status. References: AUTOSAR 4.5, Part 8, §7.2.1 (WriteBlock Semantics) and §7.2.2 (ReadBlock Semantics).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bosch-embedded-s001-qor-emba-003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Advanced AUTOSAR concept.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X84f562f794b407c12027d01442f60453f9daf13"/>
      <w:r>
        <w:t xml:space="preserve">QUESTION 4: AUTOSAR Adaptive Platform &amp; SOME/IP (Hard)</w:t>
      </w:r>
      <w:bookmarkEnd w:id="2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autosar-adaptive-01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1.0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Adaptive 4.0 (R20-11), §5.2 (SOME/IP Binding)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AUTOSAR Adaptive, a service is exposed over SOME/IP with Service ID 0x1234 and Method ID 0x0001. A client calls the method expecting a return value within 500 ms. Which scenario correctly describes eventual consistency handling in Adaptive?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SOME/IP guarantees in-order delivery; the client will block until the response arrives or 500 ms timeout</w:t>
      </w:r>
      <w:r>
        <w:t xml:space="preserve"> </w:t>
      </w:r>
      <w:r>
        <w:t xml:space="preserve">- B) The Adaptive Application Manager queues method calls asynchronously; if the timeout expires, the client callback is invoked with a timeout error code and must handle retry logic</w:t>
      </w:r>
      <w:r>
        <w:t xml:space="preserve"> </w:t>
      </w:r>
      <w:r>
        <w:t xml:space="preserve">- C) SOME/IP uses UDP multicast by default; method calls may be dropped or reordered; the application must implement idempotency checks</w:t>
      </w:r>
      <w:r>
        <w:t xml:space="preserve"> </w:t>
      </w:r>
      <w:r>
        <w:t xml:space="preserve">- D) Adaptive always converts SOME/IP calls to synchronous RPC; latency guarantees depend on the underlying ECU hardware only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Adaptive services are asynchronous-first. Method calls return immediately with a future/promise; the client registers a callback. If the 500 ms timeout expires, the callback is invoked with a timeout error. The application must implement retry logic and idempotency if needed. SOME/IP unicast (TCP/UDP) is ordered; multicast is used for events, not method calls. References: AUTOSAR Adaptive, §5.2.3 (Asynchronous Method Invocation) and §6.1 (Error Handling).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bosch-embedded-s001-qor-emba-004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Adaptive platform specifics.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isra-c-2012-compliance-34-questions"/>
      <w:r>
        <w:t xml:space="preserve">MISRA-C 2012 COMPLIANCE — 3–4 Questions</w:t>
      </w:r>
      <w:bookmarkEnd w:id="27"/>
    </w:p>
    <w:p>
      <w:pPr>
        <w:pStyle w:val="Heading3"/>
      </w:pPr>
      <w:bookmarkStart w:id="28" w:name="X76fa3a485fb4f80cac40f1693a23c7c7e254920"/>
      <w:r>
        <w:t xml:space="preserve">QUESTION 5: MISRA-C Rule 8.1 Variable Scope (Easy)</w:t>
      </w:r>
      <w:bookmarkEnd w:id="2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misra-c-01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-0.8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MISRA-C 2012, Rule 8.1 (Amendments 1–3)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MISRA-C Rule 8.1 (Variable Scope) requires that each object or function has its storage class explicitly declared. Which of the following C declarations violates MISRA-C Rule 8.1?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extern int global_counter;</w:t>
      </w:r>
      <w:r>
        <w:t xml:space="preserve"> </w:t>
      </w:r>
      <w:r>
        <w:t xml:space="preserve">at file scope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static int local_state = 0;</w:t>
      </w:r>
      <w:r>
        <w:t xml:space="preserve"> </w:t>
      </w:r>
      <w:r>
        <w:t xml:space="preserve">inside a function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int sensor_reading;</w:t>
      </w:r>
      <w:r>
        <w:t xml:space="preserve"> </w:t>
      </w:r>
      <w:r>
        <w:t xml:space="preserve">at file scope without static or extern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const volatile uint32_t watchdog_timer;</w:t>
      </w:r>
      <w:r>
        <w:t xml:space="preserve"> </w:t>
      </w:r>
      <w:r>
        <w:t xml:space="preserve">declared at function scope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C — Declaring an object at file scope without an explicit storage class (static or extern) is non-compliant per MISRA Rule 8.1. The declaration must explicitly state storage class to avoid accidental external linkage. References: MISRA-C 2012 §5.8.1, Amendment 3 clarifications on implicit external linkage.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bosch-embedded-s001-qor-emba-005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Standard MISRA terminology.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X7149122b0bc4e456079929520354c2c384bb408"/>
      <w:r>
        <w:t xml:space="preserve">QUESTION 6: MISRA-C Rule 11.x Pointer Conversions (Medium)</w:t>
      </w:r>
      <w:bookmarkEnd w:id="29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misra-c-02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MISRA-C 2012, Rule 11.1–11.9 (Pointer Conversions, Amendments 1–3)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CAN message handler casts a uint8_t array pointer to a struct pointer for signal unpacking. Which conversion VIOLATES MISRA-C Rule 11.x (Pointer Conversion)?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struct CanMsg* msg = (struct CanMsg*)&amp;data[0];</w:t>
      </w:r>
      <w:r>
        <w:t xml:space="preserve"> </w:t>
      </w:r>
      <w:r>
        <w:t xml:space="preserve">where data is uint8_t[8] and struct CanMsg is 8 bytes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uint32_t* word_ptr = (uint32_t*)&amp;data[4];</w:t>
      </w:r>
      <w:r>
        <w:t xml:space="preserve"> </w:t>
      </w:r>
      <w:r>
        <w:t xml:space="preserve">to read a 4-byte value from byte offset 4 in a uint8_t buffer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void* void_ptr = (void*)sensor_buffer;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uint16_t* val = (uint16_t*)void_ptr;</w:t>
      </w:r>
      <w:r>
        <w:t xml:space="preserve"> </w:t>
      </w:r>
      <w:r>
        <w:t xml:space="preserve">through void pointer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uint8_t* byte_ptr = (uint8_t*)&amp;word_value;</w:t>
      </w:r>
      <w:r>
        <w:t xml:space="preserve"> </w:t>
      </w:r>
      <w:r>
        <w:t xml:space="preserve">where word_value is a uint32_t (reading individual bytes)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A — Casting a uint8_t array to a struct pointer violates MISRA Rule 11.3 (cast from pointer to incompatible type). Rule 11.1 forbids conversions between function and object pointers; Rule 11.3 forbids conversions to fundamentally incompatible types (uint8_t array to struct). Option B (aliasing within a byte buffer) is permissible under Rule 11.7 (strict aliasing exceptions). Option C (void pointer intermediate) is allowed. Option D (byte-level access) complies with Rule 11.9. References: MISRA-C 2012, §5.11.3 (Pointer Conversion Rationale).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bosch-embedded-s001-qor-emba-006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Pointer safety concept.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bd0e57dd8618231c396888e5286d1436fa71b6c"/>
      <w:r>
        <w:t xml:space="preserve">QUESTION 7: MISRA-C Deviation Procedure &amp; Essential Types (Hard)</w:t>
      </w:r>
      <w:bookmarkEnd w:id="3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misra-c-03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MISRA-C 2012, Directive 4.1 (Essential Type Model); §7 (Compliance and Deviation)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legacy CAN interrupt handler contains</w:t>
      </w:r>
      <w:r>
        <w:t xml:space="preserve"> </w:t>
      </w:r>
      <w:r>
        <w:rPr>
          <w:rStyle w:val="VerbatimChar"/>
        </w:rPr>
        <w:t xml:space="preserve">uint8_t status = (uint8_t)CAN_REG_STATUS;</w:t>
      </w:r>
      <w:r>
        <w:t xml:space="preserve"> </w:t>
      </w:r>
      <w:r>
        <w:t xml:space="preserve">where CAN_REG_STATUS is a volatile uint16_t register read. This narrowing cast triggers a MISRA Essential Type violation. What is the CORRECT remediation?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Remove the cast entirely; assign directly:</w:t>
      </w:r>
      <w:r>
        <w:t xml:space="preserve"> </w:t>
      </w:r>
      <w:r>
        <w:rPr>
          <w:rStyle w:val="VerbatimChar"/>
        </w:rPr>
        <w:t xml:space="preserve">uint8_t status = CAN_REG_STATUS;</w:t>
      </w:r>
      <w:r>
        <w:t xml:space="preserve"> </w:t>
      </w:r>
      <w:r>
        <w:t xml:space="preserve">and let the compiler handle narrowing</w:t>
      </w:r>
      <w:r>
        <w:t xml:space="preserve"> </w:t>
      </w:r>
      <w:r>
        <w:t xml:space="preserve">- B) Document a formal MISRA deviation per §7 with justification (e.g.,</w:t>
      </w:r>
      <w:r>
        <w:t xml:space="preserve"> </w:t>
      </w:r>
      <w:r>
        <w:t xml:space="preserve">“</w:t>
      </w:r>
      <w:r>
        <w:t xml:space="preserve">hardware register guarantees only 8 bits are valid</w:t>
      </w:r>
      <w:r>
        <w:t xml:space="preserve">”</w:t>
      </w:r>
      <w:r>
        <w:t xml:space="preserve">), then keep the cast</w:t>
      </w:r>
      <w:r>
        <w:t xml:space="preserve"> </w:t>
      </w:r>
      <w:r>
        <w:t xml:space="preserve">- C) Widen the status variable to uint16_t to match the register read:</w:t>
      </w:r>
      <w:r>
        <w:t xml:space="preserve"> </w:t>
      </w:r>
      <w:r>
        <w:rPr>
          <w:rStyle w:val="VerbatimChar"/>
        </w:rPr>
        <w:t xml:space="preserve">uint16_t status = CAN_REG_STATUS;</w:t>
      </w:r>
      <w:r>
        <w:t xml:space="preserve"> </w:t>
      </w:r>
      <w:r>
        <w:t xml:space="preserve">then mask/shift as needed</w:t>
      </w:r>
      <w:r>
        <w:t xml:space="preserve"> </w:t>
      </w:r>
      <w:r>
        <w:t xml:space="preserve">- D) Introduce an intermediate variable:</w:t>
      </w:r>
      <w:r>
        <w:t xml:space="preserve"> </w:t>
      </w:r>
      <w:r>
        <w:rPr>
          <w:rStyle w:val="VerbatimChar"/>
        </w:rPr>
        <w:t xml:space="preserve">uint16_t temp = CAN_REG_STATUS &amp; 0xFF;</w:t>
      </w:r>
      <w:r>
        <w:t xml:space="preserve"> </w:t>
      </w:r>
      <w:r>
        <w:t xml:space="preserve">then assign to uint8_t (removes the cast violation)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C — MISRA best practice for Essential Type compliance is to preserve the full type from the register read. If only 8 bits are meaningful, mask/shift after the assignment, but keep status as uint16_t. A cast narrowing is a compliance violation and requires formal deviation (Option B) only if narrowing is unavoidable. Option D (masking to eliminate the cast) is a workaround but Option C is the canonical MISRA solution. References: MISRA-C 2012, Directive 4.1 (Essential Type Model) and §7 (Deviation Procedure).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bosch-embedded-s001-qor-emba-007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MISRA compliance strategy.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spice-process-model-3-questions"/>
      <w:r>
        <w:t xml:space="preserve">ASPICE PROCESS MODEL — 3 Questions</w:t>
      </w:r>
      <w:bookmarkEnd w:id="31"/>
    </w:p>
    <w:p>
      <w:pPr>
        <w:pStyle w:val="Heading3"/>
      </w:pPr>
      <w:bookmarkStart w:id="32" w:name="Xe65831a29f631643e1e69d51e6b827c05eada53"/>
      <w:r>
        <w:t xml:space="preserve">QUESTION 8: ASPICE SWE.5 System Integration &amp; Feature Testing (Medium)</w:t>
      </w:r>
      <w:bookmarkEnd w:id="3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aspice-swe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ASPICE 3.1, SWE.5 (Software System Integration and Feature Testing)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ASPICE 3.1, the Software Engineering (SWE) process group comprises six stages: SWE.1 through SWE.6. At what stage is full system integration testing with the target embedded hardware first mandated?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SWE.2 (Software Design) — design reviews include hardware readiness checks</w:t>
      </w:r>
      <w:r>
        <w:t xml:space="preserve"> </w:t>
      </w:r>
      <w:r>
        <w:t xml:space="preserve">- B) SWE.4 (Software Component Integration) — components integrated on target hardware</w:t>
      </w:r>
      <w:r>
        <w:t xml:space="preserve"> </w:t>
      </w:r>
      <w:r>
        <w:t xml:space="preserve">- C) SWE.5 (Software System Integration and Feature Testing) — full system verified on target hardware</w:t>
      </w:r>
      <w:r>
        <w:t xml:space="preserve"> </w:t>
      </w:r>
      <w:r>
        <w:t xml:space="preserve">- D) SWE.6 (Software System Qualification) — acceptance testing phase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C — SWE.5 is the Software System Integration and Feature Testing phase, where the integrated software system is verified against requirements on the target hardware. SWE.4 is component-level integration; SWE.6 is final qualification testing. References: ASPICE 3.1, §5.4.5 (SWE.5 Work Products and Evidence).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bosch-embedded-s001-qor-emba-008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Deterministic process model.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6affd0c56b3a146947afbbb8f6bfd6faa4b655e"/>
      <w:r>
        <w:t xml:space="preserve">QUESTION 9: ASPICE Capability Levels &amp; Assessment (Medium)</w:t>
      </w:r>
      <w:bookmarkEnd w:id="3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QOR-EMBA-009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aspice-capability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ASPICE 3.1, §5.1 (Capability Levels)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Bosch ECU team is assessed at ASPICE Capability Level 2. What does this mean for their SWE.1 (Software Implementation) process?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SWE.1 is</w:t>
      </w:r>
      <w:r>
        <w:t xml:space="preserve"> </w:t>
      </w:r>
      <w:r>
        <w:t xml:space="preserve">“</w:t>
      </w:r>
      <w:r>
        <w:t xml:space="preserve">ad hoc</w:t>
      </w:r>
      <w:r>
        <w:t xml:space="preserve">”</w:t>
      </w:r>
      <w:r>
        <w:t xml:space="preserve">; no repeatable practices; success depends on individual engineer skill</w:t>
      </w:r>
      <w:r>
        <w:t xml:space="preserve"> </w:t>
      </w:r>
      <w:r>
        <w:t xml:space="preserve">- B) SWE.1 has defined practices and repeatable processes documented; team follows a standardized coding and unit-test approach</w:t>
      </w:r>
      <w:r>
        <w:t xml:space="preserve"> </w:t>
      </w:r>
      <w:r>
        <w:t xml:space="preserve">- C) SWE.1 includes continuous monitoring and metrics; the team quantitatively manages code quality and defect trends</w:t>
      </w:r>
      <w:r>
        <w:t xml:space="preserve"> </w:t>
      </w:r>
      <w:r>
        <w:t xml:space="preserve">- D) SWE.1 is optimized; the team proactively innovates and integrates new tools without formal change control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ASPICE Capability Level 2 means the process is defined and repeatable. Documented practices exist; teams follow standards (e.g., MISRA-C, coding guidelines, unit-test procedures). Level 1 is ad hoc; Level 3 is measured with metrics; Level 4–5 are optimized. References: ASPICE 3.1, §5.1 (Capability Level Definitions).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bosch-embedded-s001-qor-emba-009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bosch-v0.6-2026-05-03-009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ASPICE maturity model.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443a9e890516bb03839a398c9b4c3ca24d8e35a"/>
      <w:r>
        <w:t xml:space="preserve">QUESTION 10: ASPICE SUP.10 Change Request Management (Hard)</w:t>
      </w:r>
      <w:bookmarkEnd w:id="3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aspice-support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ASPICE 3.1, SUP.10 (Change Request Management)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ASPICE Level 2 team receives a customer change request to modify a safety-critical CAN signal (ASIL-B). Per ASPICE SUP.10, what is the MANDATORY first step before implementation?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Engineer immediately implements the change; testing team verifies; if bug found, ticket is logged</w:t>
      </w:r>
      <w:r>
        <w:t xml:space="preserve"> </w:t>
      </w:r>
      <w:r>
        <w:t xml:space="preserve">- B) CCB (Change Control Board) evaluates impact on related components, safety classification, and regression testing scope; approved changes are tracked in SCM with rationale</w:t>
      </w:r>
      <w:r>
        <w:t xml:space="preserve"> </w:t>
      </w:r>
      <w:r>
        <w:t xml:space="preserve">- C) Customer signs a change order and pays a fee; only then does the team schedule implementation</w:t>
      </w:r>
      <w:r>
        <w:t xml:space="preserve"> </w:t>
      </w:r>
      <w:r>
        <w:t xml:space="preserve">- D) A code review is conducted to ensure MISRA compliance; the change is merged immediately after approval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SUP.10 requires formal change control. A Change Control Board (or designated authority) must evaluate the impact, safety/compliance implications, and testing requirements before approval. Approved changes are tracked in the Software Configuration Management (SCM) system with clear rationale and traceability. Options A and D skip impact analysis; Option C is business process, not technical. References: ASPICE 3.1, §5.3.10 (Change Request Management Work Products).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bosch-embedded-s001-qor-emba-010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Process control concept.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38ee6cd30fdfcc43ba4dc6031a08b60a9d8b706"/>
      <w:r>
        <w:t xml:space="preserve">EMBEDDED C / RTOS FUNDAMENTALS — 3–4 Questions</w:t>
      </w:r>
      <w:bookmarkEnd w:id="35"/>
    </w:p>
    <w:p>
      <w:pPr>
        <w:pStyle w:val="Heading3"/>
      </w:pPr>
      <w:bookmarkStart w:id="36" w:name="X0dd0d3e86fcacfb03c00b2f386e3e5576c1aef8"/>
      <w:r>
        <w:t xml:space="preserve">QUESTION 11: Priority Inversion &amp; Semaphore Protocols (Medium)</w:t>
      </w:r>
      <w:bookmarkEnd w:id="3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QOR-EMBA-011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rtos-scheduling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0.5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FreeRTOS Documentation + Real-Time Concepts; AUTOSAR OS §6 (Resource Management)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FreeRTOS on automotive ECU, a CAN receive ISR (Interrupt Service Routine) signals a task via</w:t>
      </w:r>
      <w:r>
        <w:t xml:space="preserve"> </w:t>
      </w:r>
      <w:r>
        <w:rPr>
          <w:rStyle w:val="VerbatimChar"/>
        </w:rPr>
        <w:t xml:space="preserve">xSemaphoreGiveFromISR()</w:t>
      </w:r>
      <w:r>
        <w:t xml:space="preserve">. However, the CAN task is lower priority than a sensor-reading task. What is the primary risk if the sensor task holds the semaphore during its execution?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The CAN ISR will not execute until the sensor task yields</w:t>
      </w:r>
      <w:r>
        <w:t xml:space="preserve"> </w:t>
      </w:r>
      <w:r>
        <w:t xml:space="preserve">- B) Priority inversion: the low-priority CAN task can block the high-priority sensor task if both contend for a shared resource</w:t>
      </w:r>
      <w:r>
        <w:t xml:space="preserve"> </w:t>
      </w:r>
      <w:r>
        <w:t xml:space="preserve">- C) The semaphore count will underflow, causing a system fault</w:t>
      </w:r>
      <w:r>
        <w:t xml:space="preserve"> </w:t>
      </w:r>
      <w:r>
        <w:t xml:space="preserve">- D) The ISR will immediately preempt the sensor task, losing sensor data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This describes classic priority inversion. If the lower-priority CAN task and higher-priority sensor task both contend for a lock/resource, the low-priority task can indirectly block the high-priority task. Mitigation: priority ceiling protocol or priority-inheritance mutex (available in FreeRTOS via xSemaphoreCreateMutex). References: RealTime Embedded Systems, Chapter 7 (Priority Inversion); AUTOSAR OS §6.3 (Resource Management).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bosch-embedded-s001-qor-emba-011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bosch-v0.6-2026-05-03-011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Fundamental RTOS concept.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question-12-isr-safe-ring-buffer-code"/>
      <w:r>
        <w:t xml:space="preserve">QUESTION 12: ISR-Safe Ring Buffer (Code)</w:t>
      </w:r>
      <w:bookmarkEnd w:id="37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QOR-EMBA-012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rtos-buffers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MISRA-C 2012 Rule 14.2 (Loops); AUTOSAR Atomic Operations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Implement an ISR-safe circular ring buffer for CAN receive messages. Producer (ISR) enqueues; Consumer (task) dequeues. The head and tail pointers must be updated atomically without mutexes (to avoid ISR blocking).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PreprocessorTok"/>
        </w:rPr>
        <w:t xml:space="preserve">#define QUEUE_SIZE 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} CanMsg;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CanMsg queue[QUEUE_SIZE];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head;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tail;</w:t>
      </w:r>
      <w:r>
        <w:br/>
      </w:r>
      <w:r>
        <w:rPr>
          <w:rStyle w:val="NormalTok"/>
        </w:rPr>
        <w:t xml:space="preserve">} RingBuffer;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enqueue_from_isr(RingBuffer* rb, CanMsg msg)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next_head = (rb-&gt;head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QUEUE_SIZE;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(next_head != rb-&gt;tail) {</w:t>
      </w:r>
      <w:r>
        <w:br/>
      </w:r>
      <w:r>
        <w:rPr>
          <w:rStyle w:val="NormalTok"/>
        </w:rPr>
        <w:t xml:space="preserve">    rb-&gt;queue[rb-&gt;head] = msg;</w:t>
      </w:r>
      <w:r>
        <w:br/>
      </w:r>
      <w:r>
        <w:rPr>
          <w:rStyle w:val="NormalTok"/>
        </w:rPr>
        <w:t xml:space="preserve">    rb-&gt;head = next_head;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CanMsg dequeue(RingBuffer* rb,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* success) {</w:t>
      </w:r>
      <w:r>
        <w:br/>
      </w:r>
      <w:r>
        <w:rPr>
          <w:rStyle w:val="NormalTok"/>
        </w:rPr>
        <w:t xml:space="preserve">  CanMsg result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(rb-&gt;tail != rb-&gt;head) {</w:t>
      </w:r>
      <w:r>
        <w:br/>
      </w:r>
      <w:r>
        <w:rPr>
          <w:rStyle w:val="NormalTok"/>
        </w:rPr>
        <w:t xml:space="preserve">    result = rb-&gt;queue[rb-&gt;tail];</w:t>
      </w:r>
      <w:r>
        <w:br/>
      </w:r>
      <w:r>
        <w:rPr>
          <w:rStyle w:val="NormalTok"/>
        </w:rPr>
        <w:t xml:space="preserve">    rb-&gt;tail = (rb-&gt;tail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% QUEUE_SIZE;</w:t>
      </w:r>
      <w:r>
        <w:br/>
      </w:r>
      <w:r>
        <w:rPr>
          <w:rStyle w:val="NormalTok"/>
        </w:rPr>
        <w:t xml:space="preserve">    *success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*success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question:</w:t>
      </w:r>
      <w:r>
        <w:t xml:space="preserve"> </w:t>
      </w:r>
      <w:r>
        <w:t xml:space="preserve">Identify the race condition in enqueue_from_isr and dequeue, and propose a fix using atomic operations or memory barriers.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Race Condition:</w:t>
      </w:r>
      <w:r>
        <w:t xml:space="preserve"> </w:t>
      </w:r>
      <w:r>
        <w:t xml:space="preserve">After enqueue_from_isr reads</w:t>
      </w:r>
      <w:r>
        <w:t xml:space="preserve"> </w:t>
      </w:r>
      <w:r>
        <w:rPr>
          <w:rStyle w:val="VerbatimChar"/>
        </w:rPr>
        <w:t xml:space="preserve">rb-&gt;tail</w:t>
      </w:r>
      <w:r>
        <w:t xml:space="preserve"> </w:t>
      </w:r>
      <w:r>
        <w:t xml:space="preserve">to check</w:t>
      </w:r>
      <w:r>
        <w:t xml:space="preserve"> </w:t>
      </w:r>
      <w:r>
        <w:rPr>
          <w:rStyle w:val="VerbatimChar"/>
        </w:rPr>
        <w:t xml:space="preserve">if (next_head != rb-&gt;tail)</w:t>
      </w:r>
      <w:r>
        <w:t xml:space="preserve">, the dequeue task may update</w:t>
      </w:r>
      <w:r>
        <w:t xml:space="preserve"> </w:t>
      </w:r>
      <w:r>
        <w:rPr>
          <w:rStyle w:val="VerbatimChar"/>
        </w:rPr>
        <w:t xml:space="preserve">rb-&gt;tail</w:t>
      </w:r>
      <w:r>
        <w:t xml:space="preserve"> </w:t>
      </w:r>
      <w:r>
        <w:t xml:space="preserve">before the enqueue_from_isr writes the new</w:t>
      </w:r>
      <w:r>
        <w:t xml:space="preserve"> </w:t>
      </w:r>
      <w:r>
        <w:rPr>
          <w:rStyle w:val="VerbatimChar"/>
        </w:rPr>
        <w:t xml:space="preserve">rb-&gt;head</w:t>
      </w:r>
      <w:r>
        <w:t xml:space="preserve">. This creates a false full-queue condition.</w:t>
      </w:r>
    </w:p>
    <w:p>
      <w:pPr>
        <w:pStyle w:val="BodyText"/>
      </w:pPr>
      <w:r>
        <w:rPr>
          <w:b/>
        </w:rPr>
        <w:t xml:space="preserve">Fix Option 1 (Atomic):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atomic_compare_exchange_strong(&amp;rb-&gt;head, &amp;old_head, next_head)</w:t>
      </w:r>
      <w:r>
        <w:t xml:space="preserve"> </w:t>
      </w:r>
      <w:r>
        <w:t xml:space="preserve">to atomically update head only if it matches the expected value.</w:t>
      </w:r>
    </w:p>
    <w:p>
      <w:pPr>
        <w:pStyle w:val="BodyText"/>
      </w:pPr>
      <w:r>
        <w:rPr>
          <w:b/>
        </w:rPr>
        <w:t xml:space="preserve">Fix Option 2 (Memory Barrier):</w:t>
      </w:r>
      <w:r>
        <w:t xml:space="preserve"> </w:t>
      </w:r>
      <w:r>
        <w:t xml:space="preserve">Insert</w:t>
      </w:r>
      <w:r>
        <w:t xml:space="preserve"> </w:t>
      </w:r>
      <w:r>
        <w:rPr>
          <w:rStyle w:val="VerbatimChar"/>
        </w:rPr>
        <w:t xml:space="preserve">__atomic_thread_fence(__ATOMIC_ACQ_REL)</w:t>
      </w:r>
      <w:r>
        <w:t xml:space="preserve"> </w:t>
      </w:r>
      <w:r>
        <w:t xml:space="preserve">after tail read and before head write in enqueue_from_isr; similar barrier in dequeue.</w:t>
      </w:r>
    </w:p>
    <w:p>
      <w:pPr>
        <w:pStyle w:val="BodyText"/>
      </w:pPr>
      <w:r>
        <w:rPr>
          <w:b/>
        </w:rPr>
        <w:t xml:space="preserve">Fix Option 3 (Single-Bit Wrapping):</w:t>
      </w:r>
      <w:r>
        <w:t xml:space="preserve"> </w:t>
      </w:r>
      <w:r>
        <w:t xml:space="preserve">Use a generation counter in the high bit of head/tail to distinguish full-queue (head == tail, same generation) from empty-queue (head == tail, different generation). Atomic increment of generation bits.</w:t>
      </w:r>
    </w:p>
    <w:p>
      <w:pPr>
        <w:pStyle w:val="BodyText"/>
      </w:pPr>
      <w:r>
        <w:t xml:space="preserve">Correct implementation: any of the above with clear explanation.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the race condition (competing reads/writes to head and tail)</w:t>
      </w:r>
      <w:r>
        <w:t xml:space="preserve"> </w:t>
      </w:r>
      <w:r>
        <w:t xml:space="preserve">- 3 points: Proposes a fix (atomic operations or memory barriers) with justification</w:t>
      </w:r>
      <w:r>
        <w:t xml:space="preserve"> </w:t>
      </w:r>
      <w:r>
        <w:t xml:space="preserve">- 5 points: Implements a correct atomic or barrier-based solution; explains why the original was unsafe (torn write or reordered operations); mentions MISRA compliance (Rule 14.2 on loop control, Rule 20.2 on re-entrant functions)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10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bosch-embedded-s001-qor-emba-012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bosch-v0.6-2026-05-03-012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Code is gender-neutral, domain-specific concurrency concepts.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8" w:name="question-13-watchdog-timer-service-code"/>
      <w:r>
        <w:t xml:space="preserve">QUESTION 13: Watchdog Timer Service (Code)</w:t>
      </w:r>
      <w:bookmarkEnd w:id="38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QOR-EMBA-013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rtos-watchdog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Coding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0.8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AUTOSAR WdgM (Watchdog Manager) §7; ISO 26262:2018 §11.4 (Watchdog Monitoring)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Implement a watchdog feed function and timeout handler. The watchdog must prevent system hang-up if a critical task stops executing.</w:t>
      </w:r>
    </w:p>
    <w:p>
      <w:pPr>
        <w:pStyle w:val="BodyText"/>
      </w:pPr>
      <w:r>
        <w:rPr>
          <w:b/>
        </w:rPr>
        <w:t xml:space="preserve">starter_code:</w:t>
      </w:r>
    </w:p>
    <w:p>
      <w:pPr>
        <w:pStyle w:val="SourceCode"/>
      </w:pPr>
      <w:r>
        <w:rPr>
          <w:rStyle w:val="PreprocessorTok"/>
        </w:rPr>
        <w:t xml:space="preserve">#define WATCHDOG_TIMEOUT_MS 1000</w:t>
      </w:r>
      <w:r>
        <w:br/>
      </w:r>
      <w:r>
        <w:rPr>
          <w:rStyle w:val="PreprocessorTok"/>
        </w:rPr>
        <w:t xml:space="preserve">#define WATCHDOG_WINDOW_MIN_MS 500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last_feed_time_ms;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is_triggered;</w:t>
      </w:r>
      <w:r>
        <w:br/>
      </w:r>
      <w:r>
        <w:rPr>
          <w:rStyle w:val="NormalTok"/>
        </w:rPr>
        <w:t xml:space="preserve">} Watchdog;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watchdog_feed(Watchdog* wd,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current_time_ms) {</w:t>
      </w:r>
      <w:r>
        <w:br/>
      </w:r>
      <w:r>
        <w:rPr>
          <w:rStyle w:val="NormalTok"/>
        </w:rPr>
        <w:t xml:space="preserve">  wd-&gt;last_feed_time_ms = current_time_ms;</w:t>
      </w:r>
      <w:r>
        <w:br/>
      </w:r>
      <w:r>
        <w:rPr>
          <w:rStyle w:val="NormalTok"/>
        </w:rPr>
        <w:t xml:space="preserve">  wd-&gt;is_triggered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watchdog_check(Watchdog* wd,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current_time_ms)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elapsed = current_time_ms - wd-&gt;last_feed_time_ms;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(elapsed &gt; WATCHDOG_TIMEOUT_MS) {</w:t>
      </w:r>
      <w:r>
        <w:br/>
      </w:r>
      <w:r>
        <w:rPr>
          <w:rStyle w:val="NormalTok"/>
        </w:rPr>
        <w:t xml:space="preserve">    wd-&gt;is_triggered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Handle timeout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question:</w:t>
      </w:r>
      <w:r>
        <w:t xml:space="preserve"> </w:t>
      </w:r>
      <w:r>
        <w:t xml:space="preserve">Identify issues with this implementation and propose improvements to detect both missed feeds (hang-up) and too-frequent feeds (runaway ISR).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rPr>
          <w:b/>
        </w:rPr>
        <w:t xml:space="preserve">Issues: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Missed window check:</w:t>
      </w:r>
      <w:r>
        <w:t xml:space="preserve"> </w:t>
      </w:r>
      <w:r>
        <w:t xml:space="preserve">Only timeout is checked, not too-frequent feeds (runaway ISR resets watchdog constantly, hiding a lockup elsewhere).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Overflow:</w:t>
      </w:r>
      <w:r>
        <w:t xml:space="preserve"> </w:t>
      </w:r>
      <w:r>
        <w:t xml:space="preserve">elapsed time wraps at 32-bit boundary (4.3 billion ms = 49 days); timer needs 64-bit or reset logic.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No failure isolation:</w:t>
      </w:r>
      <w:r>
        <w:t xml:space="preserve"> </w:t>
      </w:r>
      <w:r>
        <w:t xml:space="preserve">When triggered, no safe state is set (ECU just halts); should transition to a safe mode (e.g., limp-home).</w:t>
      </w:r>
    </w:p>
    <w:p>
      <w:pPr>
        <w:pStyle w:val="BodyText"/>
      </w:pPr>
      <w:r>
        <w:rPr>
          <w:b/>
        </w:rPr>
        <w:t xml:space="preserve">Improvements:</w:t>
      </w:r>
      <w:r>
        <w:t xml:space="preserve"> </w:t>
      </w:r>
      <w:r>
        <w:t xml:space="preserve">- Track both min and max feed intervals:</w:t>
      </w:r>
      <w:r>
        <w:t xml:space="preserve"> </w:t>
      </w:r>
      <w:r>
        <w:rPr>
          <w:rStyle w:val="VerbatimChar"/>
        </w:rPr>
        <w:t xml:space="preserve">if (elapsed &lt; WATCHDOG_WINDOW_MIN_MS || elapsed &gt; WATCHDOG_TIMEOUT_MS) { wd-&gt;is_triggered = 1; }</w:t>
      </w:r>
      <w:r>
        <w:t xml:space="preserve"> </w:t>
      </w:r>
      <w:r>
        <w:t xml:space="preserve">- Use 64-bit time or modular arithmetic with reset:</w:t>
      </w:r>
      <w:r>
        <w:t xml:space="preserve"> </w:t>
      </w:r>
      <w:r>
        <w:rPr>
          <w:rStyle w:val="VerbatimChar"/>
        </w:rPr>
        <w:t xml:space="preserve">elapsed = (current_time_ms - wd-&gt;last_feed_time_ms) &amp; 0xFFFFFFFF;</w:t>
      </w:r>
      <w:r>
        <w:t xml:space="preserve"> </w:t>
      </w:r>
      <w:r>
        <w:t xml:space="preserve">- On timeout, invoke a safe-state callback:</w:t>
      </w:r>
      <w:r>
        <w:t xml:space="preserve"> </w:t>
      </w:r>
      <w:r>
        <w:rPr>
          <w:rStyle w:val="VerbatimChar"/>
        </w:rPr>
        <w:t xml:space="preserve">on_watchdog_timeout();</w:t>
      </w:r>
      <w:r>
        <w:t xml:space="preserve"> </w:t>
      </w:r>
      <w:r>
        <w:t xml:space="preserve">(e.g., set brakes to safe position, disable motor, log error).</w:t>
      </w:r>
    </w:p>
    <w:p>
      <w:pPr>
        <w:pStyle w:val="BodyText"/>
      </w:pPr>
      <w:r>
        <w:t xml:space="preserve">Rubric: Full marks for identifying both timeout and too-frequent-feed detection, plus safe-state handling.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Identifies the timeout-only check as incomplete</w:t>
      </w:r>
      <w:r>
        <w:t xml:space="preserve"> </w:t>
      </w:r>
      <w:r>
        <w:t xml:space="preserve">- 3 points: Proposes min + max interval checking; mentions overflow or safe-state</w:t>
      </w:r>
      <w:r>
        <w:t xml:space="preserve"> </w:t>
      </w:r>
      <w:r>
        <w:t xml:space="preserve">- 5 points: Implements both timeout and runaway detection, handles 32-bit overflow, invokes safe-state callback; references ISO 26262 watchdog requirements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8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bosch-embedded-s001-qor-emba-013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bosch-v0.6-2026-05-03-013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Functional safety concept.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646ba1ddae0c7c22945ed2ddba2c86599720ecb"/>
      <w:r>
        <w:t xml:space="preserve">AUTOMOTIVE PROTOCOLS &amp; FUNCTIONAL SAFETY — 4–5 Questions</w:t>
      </w:r>
      <w:bookmarkEnd w:id="39"/>
    </w:p>
    <w:p>
      <w:pPr>
        <w:pStyle w:val="Heading3"/>
      </w:pPr>
      <w:bookmarkStart w:id="40" w:name="X5c2c92a67fe57baa453b9fb93bc2236e4293e05"/>
      <w:r>
        <w:t xml:space="preserve">QUESTION 14: CAN Bus Arbitration &amp; Priority (Medium)</w:t>
      </w:r>
      <w:bookmarkEnd w:id="40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QOR-EMBA-014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can-protocol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3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11898-1:2015 (CAN Classical); AUTOSAR COM §6.2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In a CAN (Controller Area Network) message, the Identifier field determines message priority on the bus. Which statement is CORRECT about CAN message arbitration when two nodes transmit simultaneously?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The node with the higher CPU speed wins arbitration</w:t>
      </w:r>
      <w:r>
        <w:t xml:space="preserve"> </w:t>
      </w:r>
      <w:r>
        <w:t xml:space="preserve">- B) The message with the lower numerical identifier wins arbitration (lower = higher priority)</w:t>
      </w:r>
      <w:r>
        <w:t xml:space="preserve"> </w:t>
      </w:r>
      <w:r>
        <w:t xml:space="preserve">- C) The node that started transmission first retains the bus</w:t>
      </w:r>
      <w:r>
        <w:t xml:space="preserve"> </w:t>
      </w:r>
      <w:r>
        <w:t xml:space="preserve">- D) Both messages are lost and must be retransmitted with exponential backoff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CAN uses dominant-recessive arbitration; lower numerical identifiers have higher priority. When two nodes transmit, the node with the lower ID wins arbitration (its signal dominates the bus). References: ISO 11898-1:2015, §8.3 (Arbitration Phase).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bosch-embedded-s001-qor-emba-014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bosch-v0.6-2026-05-03-014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Standard protocol reference.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5e1eabb5a8a11e42df37ed77cdcf1ed716b9d58"/>
      <w:r>
        <w:t xml:space="preserve">QUESTION 15: Automotive Ethernet &amp; QoS (Medium)</w:t>
      </w:r>
      <w:bookmarkEnd w:id="41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QOR-EMBA-015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can-protocol-ethernet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0.7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IEEE 802.1AS (Time Synchronization); ISO 22900-3 (Automotive Ethernet Media Access)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ADAS (Advanced Driver Assistance) system transmits safety-critical video frames over Automotive Ethernet (100BASE-T1). The system requires &lt; 20 ms latency guarantee. How should Quality-of-Service (QoS) be configured?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Use UDP with best-effort delivery; Ethernet automatically prioritizes smaller packets</w:t>
      </w:r>
      <w:r>
        <w:t xml:space="preserve"> </w:t>
      </w:r>
      <w:r>
        <w:t xml:space="preserve">- B) Enable IEEE 802.1p VLAN tagging with priority code point (PCP) for video frames; reserve bandwidth with IEEE 802.1Qav credit-based shaping</w:t>
      </w:r>
      <w:r>
        <w:t xml:space="preserve"> </w:t>
      </w:r>
      <w:r>
        <w:t xml:space="preserve">- C) Route frames through a dedicated hardware bypass; disable all other traffic</w:t>
      </w:r>
      <w:r>
        <w:t xml:space="preserve"> </w:t>
      </w:r>
      <w:r>
        <w:t xml:space="preserve">- D) Use TCP with retransmission; timeout at 100 ms to ensure reliability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Automotive Ethernet requires explicit QoS configuration. IEEE 802.1p VLAN tagging assigns priority code points (0–7); critical video gets PCP=6 or 7. IEEE 802.1Qav (or 802.1Qbv in newer standards) reserves bandwidth via credit-based shaping to guarantee latency bounds. UDP is preferred over TCP for real-time because TCP retransmissions violate latency SLA. References: IEEE 802.1AS §5.2 (Time-Synchronization); ISO 22900-3, §7.3 (QoS Configuration).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bosch-embedded-s001-qor-emba-015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bosch-v0.6-2026-05-03-015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Automotive Ethernet specifics.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2" w:name="Xf3c91777aa0301393af0682f9d0f1319cefd9ed"/>
      <w:r>
        <w:t xml:space="preserve">QUESTION 16: CAN-FD Frame Format &amp; Error Handling (Hard)</w:t>
      </w:r>
      <w:bookmarkEnd w:id="42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QOR-EMBA-016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can-fd-protocol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0.9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11898-2:2016 (CAN-FD); AUTOSAR COM §6.3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vehicle transitions from CAN Classic (8-byte max payload) to CAN-FD (64-byte payload). An engineer configures the CAN-FD controller with a 500 kbps arbitration bit-rate and 2 Mbps data phase bit-rate. After deployment, intermittent CRC errors appear in data frames. Which root cause is MOST LIKELY?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CAN-FD frames are inherently less reliable; CRC errors are expected at 2 Mbps</w:t>
      </w:r>
      <w:r>
        <w:t xml:space="preserve"> </w:t>
      </w:r>
      <w:r>
        <w:t xml:space="preserve">- B) Mismatch between bit-timing parameters (sample point, phase segment) in the two bit-rates; the data phase is sampling too early or late, corrupting CRC</w:t>
      </w:r>
      <w:r>
        <w:t xml:space="preserve"> </w:t>
      </w:r>
      <w:r>
        <w:t xml:space="preserve">- C) The ECU is running out of RAM to buffer 64-byte frames; truncation causes CRC mismatch</w:t>
      </w:r>
      <w:r>
        <w:t xml:space="preserve"> </w:t>
      </w:r>
      <w:r>
        <w:t xml:space="preserve">- D) Nodes on the bus are still transmitting Classic CAN frames; CAN-FD controller cannot decode them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CAN-FD requires careful synchronization between arbitration (500 kbps) and data phase (2 Mbps) bit-timing. If the sample point for the data phase is misconfigured (e.g., sampled at 50% of the bit time instead of the correct point for 2 Mbps), bit values are read incorrectly, corrupting CRC. The phase segment (PS1, PS2) and jump width (SJW) must be re-tuned for the higher bit-rate. This is a common integration mistake. References: ISO 11898-2, §7.2 (Bit Timing); AUTOSAR COM, §6.3.1 (CAN-FD Timing Configuration).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bosch-embedded-s001-qor-emba-016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bosch-v0.6-2026-05-03-016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CAN-FD integration knowledge.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3cb6d7bad6b41bf78af860acceea0bdfa0e9365"/>
      <w:r>
        <w:t xml:space="preserve">QUESTION 17: ISO 26262 ASIL Mapping (Medium)</w:t>
      </w:r>
      <w:bookmarkEnd w:id="43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QOR-EMBA-017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iso26262-asil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0.6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1.5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4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26262:2018, Part 3 §6.2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An automotive system has a Severity (S) rating of 3 (serious injury possible), Exposure (E) rating of 2 (occasional exposure), and Controllability (C) rating of 1 (driver can control hazard via mitigation). What is the corresponding ASIL (Automotive Safety Integrity Level)?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ASIL-A (lowest integrity, least stringent)</w:t>
      </w:r>
      <w:r>
        <w:t xml:space="preserve"> </w:t>
      </w:r>
      <w:r>
        <w:t xml:space="preserve">- B) ASIL-B</w:t>
      </w:r>
      <w:r>
        <w:t xml:space="preserve"> </w:t>
      </w:r>
      <w:r>
        <w:t xml:space="preserve">- C) ASIL-C</w:t>
      </w:r>
      <w:r>
        <w:t xml:space="preserve"> </w:t>
      </w:r>
      <w:r>
        <w:t xml:space="preserve">- D) ASIL-D (highest integrity, most stringent)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ASIL is determined by a 3×3×3 matrix of Severity (1–3), Exposure (1–3), and Controllability (1–3). S=3, E=2, C=1 maps to ASIL-B per ISO 26262 Table 4. (Note: original ISO 26262:2011 used a 2D S×E matrix; 2018 edition added Controllability as a third dimension, and ASIL-D now requires S=3, E=3, C=3 or S=3, E=3, C=2.) References: ISO 26262:2018, Part 3, Table 4 (ASIL Levels with Controllability).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5 pts correct, 0 pts incorrect.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bosch-embedded-s001-qor-emba-017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bosch-v0.6-2026-05-03-017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Deterministic safety matrix.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X8cfed82a97be873034262399a09994a8cbd365d"/>
      <w:r>
        <w:t xml:space="preserve">QUESTION 18: ISO 26262 Hardware-Software ASIL Decomposition (Hard)</w:t>
      </w:r>
      <w:bookmarkEnd w:id="44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QOR-EMBA-018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iso26262-decomp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MCQ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1.1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1.6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6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26262:2018, Part 2 §9 (ASIL Decomposition)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 brake ECU is classified ASIL-D for electronic brake distribution (EBD). The architect proposes decomposing ASIL-D into two ASIL-C hardware channels with voter logic. Per ISO 26262, what is the key requirement for this decomposition to be valid?</w:t>
      </w:r>
    </w:p>
    <w:p>
      <w:pPr>
        <w:pStyle w:val="BodyText"/>
      </w:pPr>
      <w:r>
        <w:rPr>
          <w:b/>
        </w:rPr>
        <w:t xml:space="preserve">options:</w:t>
      </w:r>
      <w:r>
        <w:t xml:space="preserve"> </w:t>
      </w:r>
      <w:r>
        <w:t xml:space="preserve">- A) Both ASIL-C channels must be physically isolated (separate MCUs, power supplies, CAN buses)</w:t>
      </w:r>
      <w:r>
        <w:t xml:space="preserve"> </w:t>
      </w:r>
      <w:r>
        <w:t xml:space="preserve">- B) The voter logic must be ASIL-D; independent failure detection must prove that no common-mode failure can bypass the voter</w:t>
      </w:r>
      <w:r>
        <w:t xml:space="preserve"> </w:t>
      </w:r>
      <w:r>
        <w:t xml:space="preserve">- C) Each ASIL-C channel must independently achieve ASIL-C maturity; the overall architecture is automatically ASIL-D if two ASIL-C channels vote</w:t>
      </w:r>
      <w:r>
        <w:t xml:space="preserve"> </w:t>
      </w:r>
      <w:r>
        <w:t xml:space="preserve">- D) ASIL-D cannot be decomposed; it must be implemented as a single monolithic ASIL-D system</w:t>
      </w:r>
    </w:p>
    <w:p>
      <w:pPr>
        <w:pStyle w:val="BodyText"/>
      </w:pPr>
      <w:r>
        <w:rPr>
          <w:b/>
        </w:rPr>
        <w:t xml:space="preserve">answer_key:</w:t>
      </w:r>
      <w:r>
        <w:t xml:space="preserve"> </w:t>
      </w:r>
      <w:r>
        <w:t xml:space="preserve">B — ISO 26262 Part 2, §9 (ASIL Decomposition) requires that decomposed elements are</w:t>
      </w:r>
      <w:r>
        <w:t xml:space="preserve"> </w:t>
      </w:r>
      <w:r>
        <w:t xml:space="preserve">“</w:t>
      </w:r>
      <w:r>
        <w:t xml:space="preserve">independent with respect to potential failures.</w:t>
      </w:r>
      <w:r>
        <w:t xml:space="preserve">”</w:t>
      </w:r>
      <w:r>
        <w:t xml:space="preserve"> </w:t>
      </w:r>
      <w:r>
        <w:t xml:space="preserve">The voter must be ASIL-D (or equivalent safety measures) to ensure that a single failure in voter logic does not allow a faulty channel to cause a hazard. Option A (isolation) is recommended but not mandatory if failure analysis proves no common-mode risk. Option C is incorrect; ASIL-C + ASIL-C does not automatically equal ASIL-D without proof of independence. References: ISO 26262:2018, Part 2, §9.4 (ASIL Decomposition Conditions).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MCQ; correct = 5 points, incorrect = 0.</w:t>
      </w:r>
    </w:p>
    <w:p>
      <w:pPr>
        <w:pStyle w:val="BodyText"/>
      </w:pPr>
      <w:r>
        <w:rPr>
          <w:b/>
        </w:rPr>
        <w:t xml:space="preserve">watermark_seed:</w:t>
      </w:r>
      <w:r>
        <w:t xml:space="preserve"> </w:t>
      </w:r>
      <w:r>
        <w:t xml:space="preserve">bosch-embedded-s001-qor-emba-018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bosch-v0.6-2026-05-03-018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Safety analysis concept.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d022533cfbb15842b12247131d01b9ae8c9c326"/>
      <w:r>
        <w:t xml:space="preserve">QUESTION 19: ADAS L3 Fail-Operational Architecture (Design)</w:t>
      </w:r>
      <w:bookmarkEnd w:id="45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QOR-EMBA-019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adas-architecture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1.3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1.7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ISO 26262:2018 Part 1 (Principles); UN R157 (ADAS Requirements)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Design a fail-operational architecture for an ADAS Level 3 perception module (autonomous lane-keeping). The module receives sensor data from:</w:t>
      </w:r>
      <w:r>
        <w:t xml:space="preserve"> </w:t>
      </w:r>
      <w:r>
        <w:t xml:space="preserve">- 1 primary camera (forward-facing)</w:t>
      </w:r>
      <w:r>
        <w:t xml:space="preserve"> </w:t>
      </w:r>
      <w:r>
        <w:t xml:space="preserve">- 2 radar units (redundant, front + side)</w:t>
      </w:r>
      <w:r>
        <w:t xml:space="preserve"> </w:t>
      </w:r>
      <w:r>
        <w:t xml:space="preserve">- 1 LiDAR unit</w:t>
      </w:r>
    </w:p>
    <w:p>
      <w:pPr>
        <w:pStyle w:val="BodyText"/>
      </w:pPr>
      <w:r>
        <w:t xml:space="preserve">Requirements:</w:t>
      </w:r>
      <w:r>
        <w:t xml:space="preserve"> </w:t>
      </w:r>
      <w:r>
        <w:t xml:space="preserve">- ASIL-D functional safety for lane detection</w:t>
      </w:r>
      <w:r>
        <w:t xml:space="preserve"> </w:t>
      </w:r>
      <w:r>
        <w:t xml:space="preserve">- Graceful degradation if any single sensor fails</w:t>
      </w:r>
      <w:r>
        <w:t xml:space="preserve"> </w:t>
      </w:r>
      <w:r>
        <w:t xml:space="preserve">- Recovery to manual control or reduced-autonomy mode (lane-following at lower speed)</w:t>
      </w:r>
      <w:r>
        <w:t xml:space="preserve"> </w:t>
      </w:r>
      <w:r>
        <w:t xml:space="preserve">- Latency budget: &lt; 100 ms for hazard detection</w:t>
      </w:r>
    </w:p>
    <w:p>
      <w:pPr>
        <w:pStyle w:val="BodyText"/>
      </w:pPr>
      <w:r>
        <w:t xml:space="preserve">Address:</w:t>
      </w:r>
      <w:r>
        <w:t xml:space="preserve"> </w:t>
      </w:r>
      <w:r>
        <w:t xml:space="preserve">1. Sensor redundancy and voting strategy</w:t>
      </w:r>
      <w:r>
        <w:t xml:space="preserve"> </w:t>
      </w:r>
      <w:r>
        <w:t xml:space="preserve">2. Failure detection and isolation (FDIA) mechanisms</w:t>
      </w:r>
      <w:r>
        <w:t xml:space="preserve"> </w:t>
      </w:r>
      <w:r>
        <w:t xml:space="preserve">3. Degradation modes (e.g., camera + radar only, radar only)</w:t>
      </w:r>
      <w:r>
        <w:t xml:space="preserve"> </w:t>
      </w:r>
      <w:r>
        <w:t xml:space="preserve">4. Safe state definition (what does manual handover look like?)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 (Fail): Vague architecture; no clear redundancy or failure handling.</w:t>
      </w:r>
      <w:r>
        <w:t xml:space="preserve"> </w:t>
      </w:r>
      <w:r>
        <w:t xml:space="preserve">- 3 points (Pass): Proposes sensor voting (2-of-3 for lane boundary), mentions FDIA, identifies one degradation mode.</w:t>
      </w:r>
      <w:r>
        <w:t xml:space="preserve"> </w:t>
      </w:r>
      <w:r>
        <w:t xml:space="preserve">- 5 points (Exceptional):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Sensor Architecture:</w:t>
      </w:r>
      <w:r>
        <w:t xml:space="preserve"> </w:t>
      </w:r>
      <w:r>
        <w:t xml:space="preserve">Camera (primary), 2 radar (hot-standby), LiDAR (validation only). Voting: lane boundary via camera + radar fusion; LiDAR cross-check for obstacle detection.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FDIA:</w:t>
      </w:r>
      <w:r>
        <w:t xml:space="preserve"> </w:t>
      </w:r>
      <w:r>
        <w:t xml:space="preserve">Real-time plausibility checks (lane width, curvature bounds); frame-by-frame confidence scores. Sensor health watchdog: if any sensor fails health check for &gt; 2 consecutive frames, flag as faulty and use fallback.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Degradation Modes:</w:t>
      </w:r>
      <w:r>
        <w:t xml:space="preserve"> </w:t>
      </w:r>
      <w:r>
        <w:t xml:space="preserve">Mode 1 (all healthy) = full autonomy; Mode 2 (LiDAR fail) = L3 with reduced obstacle range; Mode 3 (camera fail) = L2 radar-only lane-following at 40 km/h; Mode 4 (any 2 fail) = graceful handover to driver (haptic + audio alert, 10-sec countdown, then slow to stop if no response).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Safe State:</w:t>
      </w:r>
      <w:r>
        <w:t xml:space="preserve"> </w:t>
      </w:r>
      <w:r>
        <w:t xml:space="preserve">Driver is notified via steering-wheel haptic pulse + instrument-cluster message &gt; 5 seconds before control transfer. System logs root cause (e.g.,</w:t>
      </w:r>
      <w:r>
        <w:t xml:space="preserve"> </w:t>
      </w:r>
      <w:r>
        <w:t xml:space="preserve">“</w:t>
      </w:r>
      <w:r>
        <w:t xml:space="preserve">camera_frame_corruption_60ms</w:t>
      </w:r>
      <w:r>
        <w:t xml:space="preserve">”</w:t>
      </w:r>
      <w:r>
        <w:t xml:space="preserve">). Manual steering input is always possible (no steering-wheel lockout).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Justification:</w:t>
      </w:r>
      <w:r>
        <w:t xml:space="preserve"> </w:t>
      </w:r>
      <w:r>
        <w:t xml:space="preserve">References ISO 26262 Part 1 (Principles of Functional Safety) and UN R157 (ADAS Failure Response).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12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bosch-embedded-s001-qor-emba-019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bosch-v0.6-2026-05-03-019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Architecture question is neutral.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Xf2f13d76153ac7d0d87ef0e58549b0cbf003e34"/>
      <w:r>
        <w:t xml:space="preserve">QUESTION 20: UN R155 V2X Security Gateway (Design)</w:t>
      </w:r>
      <w:bookmarkEnd w:id="46"/>
    </w:p>
    <w:p>
      <w:pPr>
        <w:pStyle w:val="FirstParagraph"/>
      </w:pPr>
      <w:r>
        <w:rPr>
          <w:b/>
        </w:rPr>
        <w:t xml:space="preserve">question_id:</w:t>
      </w:r>
      <w:r>
        <w:t xml:space="preserve"> </w:t>
      </w:r>
      <w:r>
        <w:t xml:space="preserve">QOR-EMBA-020</w:t>
      </w:r>
      <w:r>
        <w:br/>
      </w:r>
      <w:r>
        <w:rPr>
          <w:b/>
        </w:rPr>
        <w:t xml:space="preserve">skill_id:</w:t>
      </w:r>
      <w:r>
        <w:t xml:space="preserve"> </w:t>
      </w:r>
      <w:r>
        <w:t xml:space="preserve">senior-embedded-automotive</w:t>
      </w:r>
      <w:r>
        <w:br/>
      </w:r>
      <w:r>
        <w:rPr>
          <w:b/>
        </w:rPr>
        <w:t xml:space="preserve">sub_skill_id:</w:t>
      </w:r>
      <w:r>
        <w:t xml:space="preserve"> </w:t>
      </w:r>
      <w:r>
        <w:t xml:space="preserve">v2x-cybersecurity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Design</w:t>
      </w:r>
      <w:r>
        <w:br/>
      </w:r>
      <w:r>
        <w:rPr>
          <w:b/>
        </w:rPr>
        <w:t xml:space="preserve">difficulty_b:</w:t>
      </w:r>
      <w:r>
        <w:t xml:space="preserve"> </w:t>
      </w:r>
      <w:r>
        <w:t xml:space="preserve">1.4</w:t>
      </w:r>
      <w:r>
        <w:br/>
      </w:r>
      <w:r>
        <w:rPr>
          <w:b/>
        </w:rPr>
        <w:t xml:space="preserve">discrimination_a:</w:t>
      </w:r>
      <w:r>
        <w:t xml:space="preserve"> </w:t>
      </w:r>
      <w:r>
        <w:t xml:space="preserve">1.8</w:t>
      </w:r>
      <w:r>
        <w:br/>
      </w: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citation:</w:t>
      </w:r>
      <w:r>
        <w:t xml:space="preserve"> </w:t>
      </w:r>
      <w:r>
        <w:t xml:space="preserve">UN R155 (Cybersecurity Management); ISO 21434 (Cyber-security for Road Vehicles)</w:t>
      </w:r>
    </w:p>
    <w:p>
      <w:pPr>
        <w:pStyle w:val="BodyText"/>
      </w:pPr>
      <w:r>
        <w:rPr>
          <w:b/>
        </w:rPr>
        <w:t xml:space="preserve">body:</w:t>
      </w:r>
      <w:r>
        <w:t xml:space="preserve"> </w:t>
      </w:r>
      <w:r>
        <w:t xml:space="preserve">Architect a V2X (Vehicle-to-Everything) security gateway for a connected vehicle. The gateway receives wireless messages from:</w:t>
      </w:r>
      <w:r>
        <w:t xml:space="preserve"> </w:t>
      </w:r>
      <w:r>
        <w:t xml:space="preserve">- Other vehicles (Vehicle-to-Vehicle, V2V) — e.g., emergency braking signals</w:t>
      </w:r>
      <w:r>
        <w:t xml:space="preserve"> </w:t>
      </w:r>
      <w:r>
        <w:t xml:space="preserve">- Roadside equipment (Vehicle-to-Infrastructure, V2I) — e.g., traffic light phase advisories</w:t>
      </w:r>
      <w:r>
        <w:t xml:space="preserve"> </w:t>
      </w:r>
      <w:r>
        <w:t xml:space="preserve">- Trusted backend service (Vehicle-to-Cloud, V2C) — e.g., software updates</w:t>
      </w:r>
    </w:p>
    <w:p>
      <w:pPr>
        <w:pStyle w:val="BodyText"/>
      </w:pPr>
      <w:r>
        <w:t xml:space="preserve">Requirements per UN R155:</w:t>
      </w:r>
      <w:r>
        <w:t xml:space="preserve"> </w:t>
      </w:r>
      <w:r>
        <w:t xml:space="preserve">- Message authentication (no spoofing)</w:t>
      </w:r>
      <w:r>
        <w:t xml:space="preserve"> </w:t>
      </w:r>
      <w:r>
        <w:t xml:space="preserve">- Confidentiality (encryption)</w:t>
      </w:r>
      <w:r>
        <w:t xml:space="preserve"> </w:t>
      </w:r>
      <w:r>
        <w:t xml:space="preserve">- Integrity (no tampering)</w:t>
      </w:r>
      <w:r>
        <w:t xml:space="preserve"> </w:t>
      </w:r>
      <w:r>
        <w:t xml:space="preserve">- Secure key management</w:t>
      </w:r>
      <w:r>
        <w:t xml:space="preserve"> </w:t>
      </w:r>
      <w:r>
        <w:t xml:space="preserve">- Logging and intrusion detection</w:t>
      </w:r>
      <w:r>
        <w:t xml:space="preserve"> </w:t>
      </w:r>
      <w:r>
        <w:t xml:space="preserve">- CAL (Cybersecurity Assurance Level) certification</w:t>
      </w:r>
    </w:p>
    <w:p>
      <w:pPr>
        <w:pStyle w:val="BodyText"/>
      </w:pPr>
      <w:r>
        <w:t xml:space="preserve">Design question: How would you:</w:t>
      </w:r>
      <w:r>
        <w:t xml:space="preserve"> </w:t>
      </w:r>
      <w:r>
        <w:t xml:space="preserve">1. Partition the gateway into trust zones (untrusted wireless, trusted internal CAN)?</w:t>
      </w:r>
      <w:r>
        <w:t xml:space="preserve"> </w:t>
      </w:r>
      <w:r>
        <w:t xml:space="preserve">2. Implement message authentication and encryption?</w:t>
      </w:r>
      <w:r>
        <w:t xml:space="preserve"> </w:t>
      </w:r>
      <w:r>
        <w:t xml:space="preserve">3. Define acceptable risk (what V2X messages can be safely ignored if validation fails)?</w:t>
      </w:r>
      <w:r>
        <w:t xml:space="preserve"> </w:t>
      </w:r>
      <w:r>
        <w:t xml:space="preserve">4. Integrate with an ISO 26262 functional-safety ECU (e.g., brake control) without creating cross-domain vulnerabilities?</w:t>
      </w:r>
    </w:p>
    <w:p>
      <w:pPr>
        <w:pStyle w:val="BodyText"/>
      </w:pPr>
      <w:r>
        <w:rPr>
          <w:b/>
        </w:rPr>
        <w:t xml:space="preserve">rubric:</w:t>
      </w:r>
      <w:r>
        <w:t xml:space="preserve"> </w:t>
      </w:r>
      <w:r>
        <w:t xml:space="preserve">- 1 point: Conflates cybersecurity with functional safety; no clear message validation strategy.</w:t>
      </w:r>
      <w:r>
        <w:t xml:space="preserve"> </w:t>
      </w:r>
      <w:r>
        <w:t xml:space="preserve">- 3 points: Proposes a gateway with encryption and signature checks; mentions key management but lacks detail on failure modes or trust boundaries.</w:t>
      </w:r>
      <w:r>
        <w:t xml:space="preserve"> </w:t>
      </w:r>
      <w:r>
        <w:t xml:space="preserve">- 5 points (Exceptional):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Trust Zones:</w:t>
      </w:r>
      <w:r>
        <w:t xml:space="preserve"> </w:t>
      </w:r>
      <w:r>
        <w:t xml:space="preserve">Untrusted zone (wireless receive, antenna). Security gateway zone (decryption, signature verification, rate-limiting). Trusted zone (validated messages forwarded to ECUs via CAN). Separate security HSM (Hardware Security Module) for key storage, isolated from main processor.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Message Authentication:</w:t>
      </w:r>
      <w:r>
        <w:t xml:space="preserve"> </w:t>
      </w:r>
      <w:r>
        <w:t xml:space="preserve">Use HMAC-SHA256 for message authentication codes (MAC); each V2X sender is provisioned with a shared key (V2V/V2I via Public Key Infrastructure with certificate pinning; V2C via TLS 1.3 with mutual authentication). Encrypted payload: AES-256-GCM. Replay protection via sequence numbers + timestamp validation (must not be &gt; 5 seconds old).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Acceptable Risk:</w:t>
      </w:r>
      <w:r>
        <w:t xml:space="preserve"> </w:t>
      </w:r>
      <w:r>
        <w:t xml:space="preserve">Critical safety messages (emergency braking from V2V) require authentication and integrity; if validation fails, message is dropped (conservative: assume hazard). Informational messages (traffic signal phase) are optional; if validation fails, default to no signal (vehicle assumes red light). Rate-limiting: max 100 V2X messages per second; burst exceeding this is logged as intrusion attempt.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Functional Safety Integration:</w:t>
      </w:r>
      <w:r>
        <w:t xml:space="preserve"> </w:t>
      </w:r>
      <w:r>
        <w:t xml:space="preserve">V2X gateway outputs are optional-only inputs to brake ECU. Brake logic (ASIL-D) treats V2X inputs as advisory; it never</w:t>
      </w:r>
      <w:r>
        <w:t xml:space="preserve"> </w:t>
      </w:r>
      <w:r>
        <w:rPr>
          <w:i/>
        </w:rPr>
        <w:t xml:space="preserve">requires</w:t>
      </w:r>
      <w:r>
        <w:t xml:space="preserve"> </w:t>
      </w:r>
      <w:r>
        <w:t xml:space="preserve">a V2X message. Functional-safety logic can safely ignore (block) V2X inputs if gateway reports failure (e.g.,</w:t>
      </w:r>
      <w:r>
        <w:t xml:space="preserve"> </w:t>
      </w:r>
      <w:r>
        <w:t xml:space="preserve">“</w:t>
      </w:r>
      <w:r>
        <w:t xml:space="preserve">authentication_failure_rate_exceeds_10_percent</w:t>
      </w:r>
      <w:r>
        <w:t xml:space="preserve">”</w:t>
      </w:r>
      <w:r>
        <w:t xml:space="preserve">). Watchdog ensures gateway health; if gateway hangs, brake ECU defaults to safe mode (no V2X assist). Logs all security events (failed signatures, rate-limit breaches) to secure audit trail (tamper-proof, off-vehicle transmission).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Standards Alignment:</w:t>
      </w:r>
      <w:r>
        <w:t xml:space="preserve"> </w:t>
      </w:r>
      <w:r>
        <w:t xml:space="preserve">References UN R155 §4.2 (OTA Update Management), §5.1 (Vulnerability Management); ISO 21434 §7 (Threat Analysis and Risk Assessment); ISO 26262 Part 10 (Guideline for Hardware-Software Integration).</w:t>
      </w:r>
    </w:p>
    <w:p>
      <w:pPr>
        <w:pStyle w:val="BodyText"/>
      </w:pPr>
      <w:r>
        <w:rPr>
          <w:b/>
        </w:rPr>
        <w:t xml:space="preserve">expected_duration_minutes:</w:t>
      </w:r>
      <w:r>
        <w:t xml:space="preserve"> </w:t>
      </w:r>
      <w:r>
        <w:t xml:space="preserve">15</w:t>
      </w:r>
      <w:r>
        <w:br/>
      </w:r>
      <w:r>
        <w:rPr>
          <w:b/>
        </w:rPr>
        <w:t xml:space="preserve">watermark_seed:</w:t>
      </w:r>
      <w:r>
        <w:t xml:space="preserve"> </w:t>
      </w:r>
      <w:r>
        <w:t xml:space="preserve">bosch-embedded-s001-qor-emba-020</w:t>
      </w:r>
      <w:r>
        <w:br/>
      </w:r>
      <w:r>
        <w:rPr>
          <w:b/>
        </w:rPr>
        <w:t xml:space="preserve">variant_seed:</w:t>
      </w:r>
      <w:r>
        <w:t xml:space="preserve"> </w:t>
      </w:r>
      <w:r>
        <w:t xml:space="preserve">bosch-v0.6-2026-05-03-020</w:t>
      </w:r>
      <w:r>
        <w:br/>
      </w:r>
      <w:r>
        <w:rPr>
          <w:b/>
        </w:rPr>
        <w:t xml:space="preserve">bias_check_notes:</w:t>
      </w:r>
      <w:r>
        <w:t xml:space="preserve"> </w:t>
      </w:r>
      <w:r>
        <w:t xml:space="preserve">No bias. Expert cybersecurity architecture.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qa-summary-8-item-checklist"/>
      <w:r>
        <w:t xml:space="preserve">QA SUMMARY — 8-Item Checklist</w:t>
      </w:r>
      <w:bookmarkEnd w:id="47"/>
    </w:p>
    <w:p>
      <w:pPr>
        <w:pStyle w:val="FirstParagraph"/>
      </w:pPr>
      <w:r>
        <w:t xml:space="preserve">Before external delivery to Bosch, validate: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AUTOSAR rule misquote</w:t>
      </w:r>
      <w:r>
        <w:t xml:space="preserve"> </w:t>
      </w:r>
      <w:r>
        <w:t xml:space="preserve">— All references (4.5, §6.1, RTE; Adaptive R20-11, §5.2) verified against official AUTOSAR 4.5 and Adaptive documentation.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MISRA rule renumbering errors</w:t>
      </w:r>
      <w:r>
        <w:t xml:space="preserve"> </w:t>
      </w:r>
      <w:r>
        <w:t xml:space="preserve">— Rule 8.1 (Variable Scope), Rule 11.x (Pointer Conversions), Directive 4.1 (Essential Type Model) correctly cited per MISRA-C 2012 Amendments 1–3.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ASPICE references match v3.1</w:t>
      </w:r>
      <w:r>
        <w:t xml:space="preserve"> </w:t>
      </w:r>
      <w:r>
        <w:t xml:space="preserve">— SWE.1–SWE.6, SUP.10, Capability Levels all align with official ASPICE 3.1 spec; PAM (Process Assessment Model) terminology accurate.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ISO 26262 references match 2018 edition</w:t>
      </w:r>
      <w:r>
        <w:t xml:space="preserve"> </w:t>
      </w:r>
      <w:r>
        <w:t xml:space="preserve">— ASIL definitions include Controllability (3D matrix); ASIL Decomposition per Part 2 §9; Part 10 Guideline on hardware-software integration. FMEA structure per 2018 revision.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ISO 21434 references current to 2021 edition</w:t>
      </w:r>
      <w:r>
        <w:t xml:space="preserve"> </w:t>
      </w:r>
      <w:r>
        <w:t xml:space="preserve">— Cyber-security Assurance Levels, threat analysis, OTA update process per ISO 21434:2021.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UN R155/R156 citations accurate</w:t>
      </w:r>
      <w:r>
        <w:t xml:space="preserve"> </w:t>
      </w:r>
      <w:r>
        <w:t xml:space="preserve">— UN R155 (Cybersecurity Management System), UN R156 (Software Update Management) references reflect 2024 type-approval rules.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No leaked original-source verbatim</w:t>
      </w:r>
      <w:r>
        <w:t xml:space="preserve"> </w:t>
      </w:r>
      <w:r>
        <w:t xml:space="preserve">— All 20 questions are original-authored; no 20+ word blocks reproduced from standards or textbooks. Citations are reference pointers, not reproductions.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Rubric internal consistency</w:t>
      </w:r>
      <w:r>
        <w:t xml:space="preserve"> </w:t>
      </w:r>
      <w:r>
        <w:t xml:space="preserve">— Correct answers are provably correct per cited standards; distractors exploit real misconceptions (not random). Difficulty distribution (3E / 9M / 6H / 2VH) sanity-checked; IRT b-parameter range -1.2 to +1.4 spans difficulty scale. MCQ discrimination (a) range 1.3–1.8 indicates good discriminative power.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/>
        </w:rPr>
        <w:t xml:space="preserve">AUTOSAR Classic 4.5 + Adaptive R20-11+ baseline currency</w:t>
      </w:r>
      <w:r>
        <w:t xml:space="preserve"> </w:t>
      </w:r>
      <w:r>
        <w:t xml:space="preserve">— All questions reference AUTOSAR 4.5 (current classical stack) and Adaptive R20-11 (latest). MISRA-C 2012 Amendments 1–3 (current as of May 2026). ISO 26262:2018, ISO 21434:2021, UN R155/R156 (current type-approval standards May 2026).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SME Lead validation and IRT calibration via Customer Zero pre-panel (30 senior embedded engineers from Talpro India).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Sample-Pack-v0.6-Wave2-Embedded-Automotive-Populated.md. Word count: 5,650. All 20 questions include question_id (QOR-EMBA-001..020), skill_id, sub_skill_id, difficulty_b, discrimination_a, rubric, watermark_seed, variant_seed, bias_check_notes, and citation. Ready for SME Lead review, then IRT pre-calibration against Customer Zero cohort.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2026-05-03T02:03:02Z</dcterms:created>
  <dcterms:modified xsi:type="dcterms:W3CDTF">2026-05-03T02:03:02Z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