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3d7f051119a29efb8096fe55a7c86cf4bdc24b"/>
      <w:r>
        <w:t xml:space="preserve">Wave 2 Extension: Finacle/Flexcube Advanced (QOR-FNCFLX-021..040)</w:t>
      </w:r>
      <w:bookmarkEnd w:id="20"/>
    </w:p>
    <w:p>
      <w:pPr>
        <w:pStyle w:val="FirstParagraph"/>
      </w:pPr>
      <w:r>
        <w:rPr>
          <w:b/>
        </w:rPr>
        <w:t xml:space="preserve">STATUS:</w:t>
      </w:r>
      <w:r>
        <w:t xml:space="preserve"> </w:t>
      </w:r>
      <w:r>
        <w:t xml:space="preserve">AI-drafted v0.6 EXTENSION (Finacle/Flexcube scaling: 20→40 Qs). SME Lead validation pending. NOT for external delivery. Reference baseline: Finacle 11.5+ Core Banking; Flexcube UBS 14.7+ + Flexcube Direct Banking 26+; India BFSI digital banking + corporate + treasury depth.</w:t>
      </w:r>
    </w:p>
    <w:p>
      <w:pPr>
        <w:pStyle w:val="BodyText"/>
      </w:pPr>
      <w:r>
        <w:rPr>
          <w:b/>
        </w:rPr>
        <w:t xml:space="preserve">Effective Date:</w:t>
      </w:r>
      <w:r>
        <w:t xml:space="preserve"> </w:t>
      </w:r>
      <w:r>
        <w:t xml:space="preserve">2026-05-03</w:t>
      </w:r>
      <w:r>
        <w:br/>
      </w:r>
      <w:r>
        <w:rPr>
          <w:b/>
        </w:rPr>
        <w:t xml:space="preserve">Author Context:</w:t>
      </w:r>
      <w:r>
        <w:t xml:space="preserve"> </w:t>
      </w:r>
      <w:r>
        <w:t xml:space="preserve">Customer Zero (Talpro India) Wave 2 extension; deepens India-stack defensibility through advanced digital banking, corporate trade finance, AML/compliance, batch processing, and modernization sub-skills.</w:t>
      </w:r>
    </w:p>
    <w:p>
      <w:pPr>
        <w:pStyle w:val="BodyText"/>
      </w:pPr>
      <w:r>
        <w:rPr>
          <w:b/>
        </w:rPr>
        <w:t xml:space="preserve">Difficulty Distribution:</w:t>
      </w:r>
      <w:r>
        <w:t xml:space="preserve"> </w:t>
      </w:r>
      <w:r>
        <w:t xml:space="preserve">4 Easy | 9 Medium | 5 Hard | 2 Very Hard</w:t>
      </w:r>
      <w:r>
        <w:br/>
      </w:r>
      <w:r>
        <w:rPr>
          <w:b/>
        </w:rPr>
        <w:t xml:space="preserve">Format Distribution:</w:t>
      </w:r>
      <w:r>
        <w:t xml:space="preserve"> </w:t>
      </w:r>
      <w:r>
        <w:t xml:space="preserve">12 MCQ | 4 Code | 2 Design | 2 Case-Study</w:t>
      </w:r>
    </w:p>
    <w:p>
      <w:r>
        <w:pict>
          <v:rect style="width:0;height:1.5pt" o:hralign="center" o:hrstd="t" o:hr="t"/>
        </w:pict>
      </w:r>
    </w:p>
    <w:p>
      <w:pPr>
        <w:pStyle w:val="Heading2"/>
      </w:pPr>
      <w:bookmarkStart w:id="21" w:name="X942841d9d3c9782c64b110141dde4eedc644896"/>
      <w:r>
        <w:t xml:space="preserve">SECTION 1: DIGITAL BANKING ADVANCED (5 questions)</w:t>
      </w:r>
      <w:bookmarkEnd w:id="21"/>
    </w:p>
    <w:p>
      <w:r>
        <w:pict>
          <v:rect style="width:0;height:1.5pt" o:hralign="center" o:hrstd="t" o:hr="t"/>
        </w:pict>
      </w:r>
    </w:p>
    <w:p>
      <w:pPr>
        <w:pStyle w:val="Heading3"/>
      </w:pPr>
      <w:bookmarkStart w:id="22" w:name="X9a4a0bbdda0a7574063c610047233ca31fa4ce2"/>
      <w:r>
        <w:t xml:space="preserve">QUESTION 21: Finacle Net Banking — FCDB (Financial Connector Database) Session Timeout (Easy MCQ)</w:t>
      </w:r>
      <w:bookmarkEnd w:id="22"/>
    </w:p>
    <w:p>
      <w:pPr>
        <w:pStyle w:val="FirstParagraph"/>
      </w:pPr>
      <w:r>
        <w:rPr>
          <w:b/>
        </w:rPr>
        <w:t xml:space="preserve">question_id:</w:t>
      </w:r>
      <w:r>
        <w:t xml:space="preserve"> </w:t>
      </w:r>
      <w:r>
        <w:t xml:space="preserve">QOR-FNCFLX-021</w:t>
      </w:r>
      <w:r>
        <w:br/>
      </w:r>
      <w:r>
        <w:rPr>
          <w:b/>
        </w:rPr>
        <w:t xml:space="preserve">skill_id:</w:t>
      </w:r>
      <w:r>
        <w:t xml:space="preserve"> </w:t>
      </w:r>
      <w:r>
        <w:t xml:space="preserve">senior-finacle-flexcube</w:t>
      </w:r>
      <w:r>
        <w:br/>
      </w:r>
      <w:r>
        <w:rPr>
          <w:b/>
        </w:rPr>
        <w:t xml:space="preserve">sub_skill_id:</w:t>
      </w:r>
      <w:r>
        <w:t xml:space="preserve"> </w:t>
      </w:r>
      <w:r>
        <w:t xml:space="preserve">digital-banking-advanced-netbanking</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Infosys Finacle Direct Channels (FCDB) Configuration Guide §4.1; RBI Master Direction on Technology Risk Management (2022)</w:t>
      </w:r>
    </w:p>
    <w:p>
      <w:pPr>
        <w:pStyle w:val="BodyText"/>
      </w:pPr>
      <w:r>
        <w:rPr>
          <w:b/>
        </w:rPr>
        <w:t xml:space="preserve">body:</w:t>
      </w:r>
    </w:p>
    <w:p>
      <w:pPr>
        <w:pStyle w:val="BodyText"/>
      </w:pPr>
      <w:r>
        <w:t xml:space="preserve">A customer logged into Finacle Net Banking (via FCDB) at 2:00 PM IST. The session idle timeout in the FCDB configuration is set to 15 minutes. At 2:10 PM, the customer navigates away from the browser without explicitly logging out. At 2:27 PM, the customer returns and attempts to transfer ₹50,000 to a payee. The Net Banking system prompts for a re-login. Which of the following best explains why re-login was required?</w:t>
      </w:r>
    </w:p>
    <w:p>
      <w:pPr>
        <w:pStyle w:val="BodyText"/>
      </w:pPr>
      <w:r>
        <w:rPr>
          <w:b/>
        </w:rPr>
        <w:t xml:space="preserve">options:</w:t>
      </w:r>
    </w:p>
    <w:p>
      <w:pPr>
        <w:numPr>
          <w:ilvl w:val="1"/>
          <w:numId w:val="1002"/>
        </w:numPr>
        <w:pStyle w:val="Compact"/>
      </w:pPr>
      <w:r>
        <w:t xml:space="preserve">The session timeout threshold (15 min) was exceeded at 2:15 PM, invalidating the session token</w:t>
      </w:r>
    </w:p>
    <w:p>
      <w:pPr>
        <w:numPr>
          <w:ilvl w:val="1"/>
          <w:numId w:val="1003"/>
        </w:numPr>
        <w:pStyle w:val="Compact"/>
      </w:pPr>
      <w:r>
        <w:t xml:space="preserve">FCDB automatically requires re-login after every transaction for PCI-DSS compliance</w:t>
      </w:r>
    </w:p>
    <w:p>
      <w:pPr>
        <w:numPr>
          <w:ilvl w:val="1"/>
          <w:numId w:val="1004"/>
        </w:numPr>
        <w:pStyle w:val="Compact"/>
      </w:pPr>
      <w:r>
        <w:t xml:space="preserve">The customer’s CIF was flagged for risk re-evaluation by the AML system, forcing session termination</w:t>
      </w:r>
    </w:p>
    <w:p>
      <w:pPr>
        <w:numPr>
          <w:ilvl w:val="1"/>
          <w:numId w:val="1005"/>
        </w:numPr>
        <w:pStyle w:val="Compact"/>
      </w:pPr>
      <w:r>
        <w:t xml:space="preserve">The FCDB server restarted between 2:10 PM and 2:27 PM, clearing all cached session data</w:t>
      </w:r>
    </w:p>
    <w:p>
      <w:pPr>
        <w:pStyle w:val="FirstParagraph"/>
      </w:pPr>
      <w:r>
        <w:rPr>
          <w:b/>
        </w:rPr>
        <w:t xml:space="preserve">answer_key:</w:t>
      </w:r>
    </w:p>
    <w:p>
      <w:pPr>
        <w:pStyle w:val="BodyText"/>
      </w:pPr>
      <w:r>
        <w:t xml:space="preserve">A — Session idle timeout is a standard security mechanism. After 15 minutes of inactivity (2:00 PM + 15 min = 2:15 PM), the session is invalidated. When the customer returns at 2:27 PM, the session is already expired, requiring re-login. This aligns with RBI Technology Risk Management directives and PCI-DSS best practices. References: Finacle FCDB session management configuration; RBI Master Direction on Technology Risk Management (Chapter: Access Control).</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qorium-fncflx-v0.6-021-seed-2a8c5f7d</w:t>
      </w:r>
      <w:r>
        <w:br/>
      </w:r>
      <w:r>
        <w:rPr>
          <w:b/>
        </w:rPr>
        <w:t xml:space="preserve">variant_seed:</w:t>
      </w:r>
      <w:r>
        <w:t xml:space="preserve"> </w:t>
      </w:r>
      <w:r>
        <w:t xml:space="preserve">qorium-fncflx-v0.6-2026-05-03-021</w:t>
      </w:r>
      <w:r>
        <w:br/>
      </w:r>
      <w:r>
        <w:rPr>
          <w:b/>
        </w:rPr>
        <w:t xml:space="preserve">bias_check_notes:</w:t>
      </w:r>
      <w:r>
        <w:t xml:space="preserve"> </w:t>
      </w:r>
      <w:r>
        <w:t xml:space="preserve">No bias. Universal banking security practice.</w:t>
      </w:r>
    </w:p>
    <w:p>
      <w:r>
        <w:pict>
          <v:rect style="width:0;height:1.5pt" o:hralign="center" o:hrstd="t" o:hr="t"/>
        </w:pict>
      </w:r>
    </w:p>
    <w:p>
      <w:pPr>
        <w:pStyle w:val="Heading3"/>
      </w:pPr>
      <w:bookmarkStart w:id="23" w:name="X1ee9680ec58b1bd6d3d8f551058cd3b2ac959e3"/>
      <w:r>
        <w:t xml:space="preserve">QUESTION 22: Flexcube Direct Banking — Mobile SDK Certificate Pinning (Medium MCQ)</w:t>
      </w:r>
      <w:bookmarkEnd w:id="23"/>
    </w:p>
    <w:p>
      <w:pPr>
        <w:pStyle w:val="FirstParagraph"/>
      </w:pPr>
      <w:r>
        <w:rPr>
          <w:b/>
        </w:rPr>
        <w:t xml:space="preserve">question_id:</w:t>
      </w:r>
      <w:r>
        <w:t xml:space="preserve"> </w:t>
      </w:r>
      <w:r>
        <w:t xml:space="preserve">QOR-FNCFLX-022</w:t>
      </w:r>
      <w:r>
        <w:br/>
      </w:r>
      <w:r>
        <w:rPr>
          <w:b/>
        </w:rPr>
        <w:t xml:space="preserve">skill_id:</w:t>
      </w:r>
      <w:r>
        <w:t xml:space="preserve"> </w:t>
      </w:r>
      <w:r>
        <w:t xml:space="preserve">senior-finacle-flexcube</w:t>
      </w:r>
      <w:r>
        <w:br/>
      </w:r>
      <w:r>
        <w:rPr>
          <w:b/>
        </w:rPr>
        <w:t xml:space="preserve">sub_skill_id:</w:t>
      </w:r>
      <w:r>
        <w:t xml:space="preserve"> </w:t>
      </w:r>
      <w:r>
        <w:t xml:space="preserve">digital-banking-advanced-mobile</w:t>
      </w:r>
      <w:r>
        <w:br/>
      </w:r>
      <w:r>
        <w:rPr>
          <w:b/>
        </w:rPr>
        <w:t xml:space="preserve">format:</w:t>
      </w:r>
      <w:r>
        <w:t xml:space="preserve"> </w:t>
      </w:r>
      <w:r>
        <w:t xml:space="preserve">MCQ</w:t>
      </w:r>
      <w:r>
        <w:br/>
      </w:r>
      <w:r>
        <w:rPr>
          <w:b/>
        </w:rPr>
        <w:t xml:space="preserve">difficulty_b:</w:t>
      </w:r>
      <w:r>
        <w:t xml:space="preserve"> </w:t>
      </w:r>
      <w:r>
        <w:t xml:space="preserve">0.2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Oracle Flexcube Direct Banking 26+ Mobile SDK Reference §6.2; OWASP Mobile Top 10 (2023)</w:t>
      </w:r>
    </w:p>
    <w:p>
      <w:pPr>
        <w:pStyle w:val="BodyText"/>
      </w:pPr>
      <w:r>
        <w:rPr>
          <w:b/>
        </w:rPr>
        <w:t xml:space="preserve">body:</w:t>
      </w:r>
    </w:p>
    <w:p>
      <w:pPr>
        <w:pStyle w:val="BodyText"/>
      </w:pPr>
      <w:r>
        <w:t xml:space="preserve">A Flexcube Direct Banking app on Android implements certificate pinning to validate the backend API server’s SSL/TLS certificate. The bank’s IT team rotates the server certificate every 90 days. During a certificate rotation on Day 89, the old cert expires and the new cert is deployed. App users on version 1.0 (released 6 months ago) still have the old certificate pinned in their app’s keystore. What is the PRIMARY consequence?</w:t>
      </w:r>
    </w:p>
    <w:p>
      <w:pPr>
        <w:pStyle w:val="BodyText"/>
      </w:pPr>
      <w:r>
        <w:rPr>
          <w:b/>
        </w:rPr>
        <w:t xml:space="preserve">options:</w:t>
      </w:r>
    </w:p>
    <w:p>
      <w:pPr>
        <w:numPr>
          <w:ilvl w:val="1"/>
          <w:numId w:val="1007"/>
        </w:numPr>
        <w:pStyle w:val="Compact"/>
      </w:pPr>
      <w:r>
        <w:t xml:space="preserve">Users continue to connect normally because the Flexcube backend automatically falls back to the old cert</w:t>
      </w:r>
    </w:p>
    <w:p>
      <w:pPr>
        <w:numPr>
          <w:ilvl w:val="1"/>
          <w:numId w:val="1008"/>
        </w:numPr>
        <w:pStyle w:val="Compact"/>
      </w:pPr>
      <w:r>
        <w:t xml:space="preserve">Users cannot authenticate until they update to app version 1.1 with the new pinned cert</w:t>
      </w:r>
    </w:p>
    <w:p>
      <w:pPr>
        <w:numPr>
          <w:ilvl w:val="1"/>
          <w:numId w:val="1009"/>
        </w:numPr>
        <w:pStyle w:val="Compact"/>
      </w:pPr>
      <w:r>
        <w:t xml:space="preserve">The TLS handshake fails on Day 90, causing connection failures for all app version 1.0 users</w:t>
      </w:r>
    </w:p>
    <w:p>
      <w:pPr>
        <w:numPr>
          <w:ilvl w:val="1"/>
          <w:numId w:val="1010"/>
        </w:numPr>
        <w:pStyle w:val="Compact"/>
      </w:pPr>
      <w:r>
        <w:t xml:space="preserve">Certificate pinning is bypassed by the backend’s Certificate Authority (CA) override, allowing legacy certs</w:t>
      </w:r>
    </w:p>
    <w:p>
      <w:pPr>
        <w:pStyle w:val="FirstParagraph"/>
      </w:pPr>
      <w:r>
        <w:rPr>
          <w:b/>
        </w:rPr>
        <w:t xml:space="preserve">answer_key:</w:t>
      </w:r>
    </w:p>
    <w:p>
      <w:pPr>
        <w:pStyle w:val="BodyText"/>
      </w:pPr>
      <w:r>
        <w:t xml:space="preserve">C — Certificate pinning validates the exact certificate (or its public key) that the app trusts. When a pinned cert expires and a new one is deployed, the old pinned cert is no longer valid. TLS handshake will fail because the app’s pinned cert does not match the server’s new cert. Users must update their app to version 1.1 with the new pinned cert to reconnect. Option B is the correct business outcome, but C is the technical consequence on Day 90. (SME Lead: Accept both B and C as correct with distinction: B is the user action, C is the technical failure.) References: OWASP Certificate Pinning best practices; Android KeyStore documentation.</w:t>
      </w:r>
    </w:p>
    <w:p>
      <w:pPr>
        <w:pStyle w:val="BodyText"/>
      </w:pPr>
      <w:r>
        <w:rPr>
          <w:b/>
        </w:rPr>
        <w:t xml:space="preserve">rubric:</w:t>
      </w:r>
    </w:p>
    <w:p>
      <w:pPr>
        <w:pStyle w:val="BodyText"/>
      </w:pPr>
      <w:r>
        <w:t xml:space="preserve">MCQ; correct = 5 points. Partial credit (3 pts) if candidate selects B without distinguishing the technical failure (C) from the recovery action (B).</w:t>
      </w:r>
    </w:p>
    <w:p>
      <w:pPr>
        <w:pStyle w:val="BodyText"/>
      </w:pPr>
      <w:r>
        <w:rPr>
          <w:b/>
        </w:rPr>
        <w:t xml:space="preserve">watermark_seed:</w:t>
      </w:r>
      <w:r>
        <w:t xml:space="preserve"> </w:t>
      </w:r>
      <w:r>
        <w:t xml:space="preserve">qorium-fncflx-v0.6-022-seed-8b4d1f3e</w:t>
      </w:r>
      <w:r>
        <w:br/>
      </w:r>
      <w:r>
        <w:rPr>
          <w:b/>
        </w:rPr>
        <w:t xml:space="preserve">variant_seed:</w:t>
      </w:r>
      <w:r>
        <w:t xml:space="preserve"> </w:t>
      </w:r>
      <w:r>
        <w:t xml:space="preserve">qorium-fncflx-v0.6-2026-05-03-022</w:t>
      </w:r>
      <w:r>
        <w:br/>
      </w:r>
      <w:r>
        <w:rPr>
          <w:b/>
        </w:rPr>
        <w:t xml:space="preserve">bias_check_notes:</w:t>
      </w:r>
      <w:r>
        <w:t xml:space="preserve"> </w:t>
      </w:r>
      <w:r>
        <w:t xml:space="preserve">No bias. Mobile banking security is universal BFSI practice.</w:t>
      </w:r>
    </w:p>
    <w:p>
      <w:r>
        <w:pict>
          <v:rect style="width:0;height:1.5pt" o:hralign="center" o:hrstd="t" o:hr="t"/>
        </w:pict>
      </w:r>
    </w:p>
    <w:p>
      <w:pPr>
        <w:pStyle w:val="Heading3"/>
      </w:pPr>
      <w:bookmarkStart w:id="24" w:name="Xac4ee32617334199ca8a739a899f1d7a6d62b60"/>
      <w:r>
        <w:t xml:space="preserve">QUESTION 23: BBPS (Bharat Bill Payment System) Integration with Finacle — Transaction Lifecycle (Medium MCQ)</w:t>
      </w:r>
      <w:bookmarkEnd w:id="24"/>
    </w:p>
    <w:p>
      <w:pPr>
        <w:pStyle w:val="FirstParagraph"/>
      </w:pPr>
      <w:r>
        <w:rPr>
          <w:b/>
        </w:rPr>
        <w:t xml:space="preserve">question_id:</w:t>
      </w:r>
      <w:r>
        <w:t xml:space="preserve"> </w:t>
      </w:r>
      <w:r>
        <w:t xml:space="preserve">QOR-FNCFLX-023</w:t>
      </w:r>
      <w:r>
        <w:br/>
      </w:r>
      <w:r>
        <w:rPr>
          <w:b/>
        </w:rPr>
        <w:t xml:space="preserve">skill_id:</w:t>
      </w:r>
      <w:r>
        <w:t xml:space="preserve"> </w:t>
      </w:r>
      <w:r>
        <w:t xml:space="preserve">senior-finacle-flexcube</w:t>
      </w:r>
      <w:r>
        <w:br/>
      </w:r>
      <w:r>
        <w:rPr>
          <w:b/>
        </w:rPr>
        <w:t xml:space="preserve">sub_skill_id:</w:t>
      </w:r>
      <w:r>
        <w:t xml:space="preserve"> </w:t>
      </w:r>
      <w:r>
        <w:t xml:space="preserve">digital-banking-advanced-bbps</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RBI BBPS Operational Guidelines (circular DPSS.CO.No.2686/02.14.006/2023-24); Finacle BBPS Biller Integration Guide §3.5</w:t>
      </w:r>
    </w:p>
    <w:p>
      <w:pPr>
        <w:pStyle w:val="BodyText"/>
      </w:pPr>
      <w:r>
        <w:rPr>
          <w:b/>
        </w:rPr>
        <w:t xml:space="preserve">body:</w:t>
      </w:r>
    </w:p>
    <w:p>
      <w:pPr>
        <w:pStyle w:val="BodyText"/>
      </w:pPr>
      <w:r>
        <w:t xml:space="preserve">A Finacle-integrated bank offers bill payments via BBPS (Bharat Bill Payment System) for utility bills. A customer initiates a ₹2,500 electricity bill payment through Net Banking on May 1st at 3:00 PM IST. The transaction reaches the BBPS gateway and is forwarded to the utility biller (DISCM — Distribution Company). The biller’s system is offline for maintenance until May 2nd, 10:00 AM. The bank’s system receives a</w:t>
      </w:r>
      <w:r>
        <w:t xml:space="preserve"> </w:t>
      </w:r>
      <w:r>
        <w:t xml:space="preserve">“</w:t>
      </w:r>
      <w:r>
        <w:t xml:space="preserve">PENDING</w:t>
      </w:r>
      <w:r>
        <w:t xml:space="preserve">”</w:t>
      </w:r>
      <w:r>
        <w:t xml:space="preserve"> </w:t>
      </w:r>
      <w:r>
        <w:t xml:space="preserve">status from BBPS with a transaction ID. On May 2nd at 3:00 PM, the biller comes online and auto-processes the pending payment without further customer confirmation. Per BBPS mandate, how should the bank’s Finacle system handle this scenario?</w:t>
      </w:r>
    </w:p>
    <w:p>
      <w:pPr>
        <w:pStyle w:val="BodyText"/>
      </w:pPr>
      <w:r>
        <w:rPr>
          <w:b/>
        </w:rPr>
        <w:t xml:space="preserve">options:</w:t>
      </w:r>
    </w:p>
    <w:p>
      <w:pPr>
        <w:numPr>
          <w:ilvl w:val="1"/>
          <w:numId w:val="1012"/>
        </w:numPr>
        <w:pStyle w:val="Compact"/>
      </w:pPr>
      <w:r>
        <w:t xml:space="preserve">Auto-reverse the ₹2,500 debit after 24 hours; customer must re-initiate the payment</w:t>
      </w:r>
    </w:p>
    <w:p>
      <w:pPr>
        <w:numPr>
          <w:ilvl w:val="1"/>
          <w:numId w:val="1013"/>
        </w:numPr>
        <w:pStyle w:val="Compact"/>
      </w:pPr>
      <w:r>
        <w:t xml:space="preserve">Keep the amount reserved (hold on customer account) until the biller confirms settlement; mark transaction as PENDING in Finacle</w:t>
      </w:r>
    </w:p>
    <w:p>
      <w:pPr>
        <w:numPr>
          <w:ilvl w:val="1"/>
          <w:numId w:val="1014"/>
        </w:numPr>
        <w:pStyle w:val="Compact"/>
      </w:pPr>
      <w:r>
        <w:t xml:space="preserve">Final-post the ₹2,500 debit to the customer’s account immediately; later reconcile biller confirmation via API callback</w:t>
      </w:r>
    </w:p>
    <w:p>
      <w:pPr>
        <w:numPr>
          <w:ilvl w:val="1"/>
          <w:numId w:val="1015"/>
        </w:numPr>
        <w:pStyle w:val="Compact"/>
      </w:pPr>
      <w:r>
        <w:t xml:space="preserve">Cancel the payment and return the amount; customer receives an SMS with a new payment window (next 7 days)</w:t>
      </w:r>
    </w:p>
    <w:p>
      <w:pPr>
        <w:pStyle w:val="FirstParagraph"/>
      </w:pPr>
      <w:r>
        <w:rPr>
          <w:b/>
        </w:rPr>
        <w:t xml:space="preserve">answer_key:</w:t>
      </w:r>
    </w:p>
    <w:p>
      <w:pPr>
        <w:pStyle w:val="BodyText"/>
      </w:pPr>
      <w:r>
        <w:t xml:space="preserve">B — Per RBI BBPS Operational Guidelines, when a BBPS transaction receives a PENDING status (e.g., due to biller unavailability), the bank must place a</w:t>
      </w:r>
      <w:r>
        <w:t xml:space="preserve"> </w:t>
      </w:r>
      <w:r>
        <w:t xml:space="preserve">“</w:t>
      </w:r>
      <w:r>
        <w:t xml:space="preserve">hold</w:t>
      </w:r>
      <w:r>
        <w:t xml:space="preserve">”</w:t>
      </w:r>
      <w:r>
        <w:t xml:space="preserve"> </w:t>
      </w:r>
      <w:r>
        <w:t xml:space="preserve">or</w:t>
      </w:r>
      <w:r>
        <w:t xml:space="preserve"> </w:t>
      </w:r>
      <w:r>
        <w:t xml:space="preserve">“</w:t>
      </w:r>
      <w:r>
        <w:t xml:space="preserve">reserve</w:t>
      </w:r>
      <w:r>
        <w:t xml:space="preserve">”</w:t>
      </w:r>
      <w:r>
        <w:t xml:space="preserve"> </w:t>
      </w:r>
      <w:r>
        <w:t xml:space="preserve">on the customer’s account. The transaction remains in PENDING state until the biller (a) confirms settlement (final status = SUCCESS) or (b) rejects (final status = FAILED) within a defined grace period (typically 5 business days). Once confirmed by the biller (as described: auto-processed on May 2nd), the transaction transitions to SUCCESS and the hold becomes a final debit. References: RBI BBPS OG §4.2 (Transaction States); Finacle BBPS state machine.</w:t>
      </w:r>
    </w:p>
    <w:p>
      <w:pPr>
        <w:pStyle w:val="BodyText"/>
      </w:pPr>
      <w:r>
        <w:rPr>
          <w:b/>
        </w:rPr>
        <w:t xml:space="preserve">rubric:</w:t>
      </w:r>
    </w:p>
    <w:p>
      <w:pPr>
        <w:pStyle w:val="BodyText"/>
      </w:pPr>
      <w:r>
        <w:t xml:space="preserve">MCQ; correct = 5 points, incorrect = 0. If candidate selects C (immediate final posting), deduct points for not respecting the hold-pending-confirm lifecycle.</w:t>
      </w:r>
    </w:p>
    <w:p>
      <w:pPr>
        <w:pStyle w:val="BodyText"/>
      </w:pPr>
      <w:r>
        <w:rPr>
          <w:b/>
        </w:rPr>
        <w:t xml:space="preserve">watermark_seed:</w:t>
      </w:r>
      <w:r>
        <w:t xml:space="preserve"> </w:t>
      </w:r>
      <w:r>
        <w:t xml:space="preserve">qorium-fncflx-v0.6-023-seed-6e3f2b9a</w:t>
      </w:r>
      <w:r>
        <w:br/>
      </w:r>
      <w:r>
        <w:rPr>
          <w:b/>
        </w:rPr>
        <w:t xml:space="preserve">variant_seed:</w:t>
      </w:r>
      <w:r>
        <w:t xml:space="preserve"> </w:t>
      </w:r>
      <w:r>
        <w:t xml:space="preserve">qorium-fncflx-v0.6-2026-05-03-023</w:t>
      </w:r>
      <w:r>
        <w:br/>
      </w:r>
      <w:r>
        <w:rPr>
          <w:b/>
        </w:rPr>
        <w:t xml:space="preserve">bias_check_notes:</w:t>
      </w:r>
      <w:r>
        <w:t xml:space="preserve"> </w:t>
      </w:r>
      <w:r>
        <w:t xml:space="preserve">No bias. India-specific BBPS regulation; universal applicability.</w:t>
      </w:r>
    </w:p>
    <w:p>
      <w:r>
        <w:pict>
          <v:rect style="width:0;height:1.5pt" o:hralign="center" o:hrstd="t" o:hr="t"/>
        </w:pict>
      </w:r>
    </w:p>
    <w:p>
      <w:pPr>
        <w:pStyle w:val="Heading3"/>
      </w:pPr>
      <w:bookmarkStart w:id="25" w:name="X7c77c27af1cb629d6b0453a7b8ffec2b37160ef"/>
      <w:r>
        <w:t xml:space="preserve">QUESTION 24: Open Banking API — Account Aggregator Consent Revocation (Hard MCQ)</w:t>
      </w:r>
      <w:bookmarkEnd w:id="25"/>
    </w:p>
    <w:p>
      <w:pPr>
        <w:pStyle w:val="FirstParagraph"/>
      </w:pPr>
      <w:r>
        <w:rPr>
          <w:b/>
        </w:rPr>
        <w:t xml:space="preserve">question_id:</w:t>
      </w:r>
      <w:r>
        <w:t xml:space="preserve"> </w:t>
      </w:r>
      <w:r>
        <w:t xml:space="preserve">QOR-FNCFLX-024</w:t>
      </w:r>
      <w:r>
        <w:br/>
      </w:r>
      <w:r>
        <w:rPr>
          <w:b/>
        </w:rPr>
        <w:t xml:space="preserve">skill_id:</w:t>
      </w:r>
      <w:r>
        <w:t xml:space="preserve"> </w:t>
      </w:r>
      <w:r>
        <w:t xml:space="preserve">senior-finacle-flexcube</w:t>
      </w:r>
      <w:r>
        <w:br/>
      </w:r>
      <w:r>
        <w:rPr>
          <w:b/>
        </w:rPr>
        <w:t xml:space="preserve">sub_skill_id:</w:t>
      </w:r>
      <w:r>
        <w:t xml:space="preserve"> </w:t>
      </w:r>
      <w:r>
        <w:t xml:space="preserve">digital-banking-advanced-openbanking</w:t>
      </w:r>
      <w:r>
        <w:br/>
      </w:r>
      <w:r>
        <w:rPr>
          <w:b/>
        </w:rPr>
        <w:t xml:space="preserve">format:</w:t>
      </w:r>
      <w:r>
        <w:t xml:space="preserve"> </w:t>
      </w:r>
      <w:r>
        <w:t xml:space="preserve">MCQ</w:t>
      </w:r>
      <w:r>
        <w:br/>
      </w:r>
      <w:r>
        <w:rPr>
          <w:b/>
        </w:rPr>
        <w:t xml:space="preserve">difficulty_b:</w:t>
      </w:r>
      <w:r>
        <w:t xml:space="preserve"> </w:t>
      </w:r>
      <w:r>
        <w:t xml:space="preserve">0.9 (Hard)</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RBI Master Direction on Account Aggregators (2021, as amended 2025); Open Credit Enablement Network (OCEN) API Standard v1.5</w:t>
      </w:r>
    </w:p>
    <w:p>
      <w:pPr>
        <w:pStyle w:val="BodyText"/>
      </w:pPr>
      <w:r>
        <w:rPr>
          <w:b/>
        </w:rPr>
        <w:t xml:space="preserve">body:</w:t>
      </w:r>
    </w:p>
    <w:p>
      <w:pPr>
        <w:pStyle w:val="BodyText"/>
      </w:pPr>
      <w:r>
        <w:t xml:space="preserve">A customer grants consent to an Account Aggregator (AA) platform to fetch account data from Finacle (via open banking API) and share it with a fintech lending partner. The consent is valid for 12 months from issue date (April 1, 2026). On June 1, 2026, the customer revokes the consent through the AA platform’s dashboard. The AA notifies Finacle (via API) of the revocation. A fintech lending partner makes a data request on June 3rd — still within the 12-month window — asking the AA for the customer’s account transactions from May 1–31. Per RBI Open Banking mandate, how should the AA respond?</w:t>
      </w:r>
    </w:p>
    <w:p>
      <w:pPr>
        <w:pStyle w:val="BodyText"/>
      </w:pPr>
      <w:r>
        <w:rPr>
          <w:b/>
        </w:rPr>
        <w:t xml:space="preserve">options:</w:t>
      </w:r>
    </w:p>
    <w:p>
      <w:pPr>
        <w:numPr>
          <w:ilvl w:val="1"/>
          <w:numId w:val="1017"/>
        </w:numPr>
        <w:pStyle w:val="Compact"/>
      </w:pPr>
      <w:r>
        <w:t xml:space="preserve">Fetch fresh data from Finacle (since the original 12-month consent is still valid) and provide it to the fintech</w:t>
      </w:r>
    </w:p>
    <w:p>
      <w:pPr>
        <w:numPr>
          <w:ilvl w:val="1"/>
          <w:numId w:val="1018"/>
        </w:numPr>
        <w:pStyle w:val="Compact"/>
      </w:pPr>
      <w:r>
        <w:t xml:space="preserve">Deny the request and inform the fintech that consent was revoked on June 1st; provide audit trail to both Finacle and the fintech</w:t>
      </w:r>
    </w:p>
    <w:p>
      <w:pPr>
        <w:numPr>
          <w:ilvl w:val="1"/>
          <w:numId w:val="1019"/>
        </w:numPr>
        <w:pStyle w:val="Compact"/>
      </w:pPr>
      <w:r>
        <w:t xml:space="preserve">Fetch cached data from the AA’s local store (collected before June 1st) and provide it to the fintech; do not contact Finacle</w:t>
      </w:r>
    </w:p>
    <w:p>
      <w:pPr>
        <w:numPr>
          <w:ilvl w:val="1"/>
          <w:numId w:val="1020"/>
        </w:numPr>
        <w:pStyle w:val="Compact"/>
      </w:pPr>
      <w:r>
        <w:t xml:space="preserve">Request the customer to re-grant consent for each data request made after the revocation date</w:t>
      </w:r>
    </w:p>
    <w:p>
      <w:pPr>
        <w:pStyle w:val="FirstParagraph"/>
      </w:pPr>
      <w:r>
        <w:rPr>
          <w:b/>
        </w:rPr>
        <w:t xml:space="preserve">answer_key:</w:t>
      </w:r>
    </w:p>
    <w:p>
      <w:pPr>
        <w:pStyle w:val="BodyText"/>
      </w:pPr>
      <w:r>
        <w:t xml:space="preserve">B — Per RBI Account Aggregator Master Direction, consent revocation is immediate and retroactive from the revocation date. Even though the original 12-month window remains valid, the customer’s explicit revocation on June 1st terminates all future data-sharing rights. The AA must refuse all subsequent requests and provide an audit trail (including the revocation notification) to both the data provider (Finacle) and the data consumer (fintech). Option C (serving cached historical data) may violate consent rules if the consent explicitly covers</w:t>
      </w:r>
      <w:r>
        <w:t xml:space="preserve"> </w:t>
      </w:r>
      <w:r>
        <w:t xml:space="preserve">“</w:t>
      </w:r>
      <w:r>
        <w:t xml:space="preserve">live data sharing,</w:t>
      </w:r>
      <w:r>
        <w:t xml:space="preserve">”</w:t>
      </w:r>
      <w:r>
        <w:t xml:space="preserve"> </w:t>
      </w:r>
      <w:r>
        <w:t xml:space="preserve">not archival. References: RBI Master Direction on Account Aggregators (Section on Consent Management); OCEN API spec (Consent Status Check endpoint).</w:t>
      </w:r>
    </w:p>
    <w:p>
      <w:pPr>
        <w:pStyle w:val="BodyText"/>
      </w:pPr>
      <w:r>
        <w:rPr>
          <w:b/>
        </w:rPr>
        <w:t xml:space="preserve">rubric:</w:t>
      </w:r>
    </w:p>
    <w:p>
      <w:pPr>
        <w:pStyle w:val="BodyText"/>
      </w:pPr>
      <w:r>
        <w:t xml:space="preserve">Hard MCQ; correct = 7 points, incorrect = 0. Award 3 points if candidate selects B but does not articulate the audit-trail requirement.</w:t>
      </w:r>
    </w:p>
    <w:p>
      <w:pPr>
        <w:pStyle w:val="BodyText"/>
      </w:pPr>
      <w:r>
        <w:rPr>
          <w:b/>
        </w:rPr>
        <w:t xml:space="preserve">watermark_seed:</w:t>
      </w:r>
      <w:r>
        <w:t xml:space="preserve"> </w:t>
      </w:r>
      <w:r>
        <w:t xml:space="preserve">qorium-fncflx-v0.6-024-seed-4c1b8e5f</w:t>
      </w:r>
      <w:r>
        <w:br/>
      </w:r>
      <w:r>
        <w:rPr>
          <w:b/>
        </w:rPr>
        <w:t xml:space="preserve">variant_seed:</w:t>
      </w:r>
      <w:r>
        <w:t xml:space="preserve"> </w:t>
      </w:r>
      <w:r>
        <w:t xml:space="preserve">qorium-fncflx-v0.6-2026-05-03-024</w:t>
      </w:r>
      <w:r>
        <w:br/>
      </w:r>
      <w:r>
        <w:rPr>
          <w:b/>
        </w:rPr>
        <w:t xml:space="preserve">bias_check_notes:</w:t>
      </w:r>
      <w:r>
        <w:t xml:space="preserve"> </w:t>
      </w:r>
      <w:r>
        <w:t xml:space="preserve">No bias. RBI-mandated open banking regulation; universally applicable in India.</w:t>
      </w:r>
    </w:p>
    <w:p>
      <w:r>
        <w:pict>
          <v:rect style="width:0;height:1.5pt" o:hralign="center" o:hrstd="t" o:hr="t"/>
        </w:pict>
      </w:r>
    </w:p>
    <w:p>
      <w:pPr>
        <w:pStyle w:val="Heading3"/>
      </w:pPr>
      <w:bookmarkStart w:id="26" w:name="X2b986270da52adcc71734e75cedc1e98f7417ef"/>
      <w:r>
        <w:t xml:space="preserve">QUESTION 25: PSD2-Equivalent SCA (Strong Customer Authentication) in India — ABDM Verification Flow (Hard MCQ)</w:t>
      </w:r>
      <w:bookmarkEnd w:id="26"/>
    </w:p>
    <w:p>
      <w:pPr>
        <w:pStyle w:val="FirstParagraph"/>
      </w:pPr>
      <w:r>
        <w:rPr>
          <w:b/>
        </w:rPr>
        <w:t xml:space="preserve">question_id:</w:t>
      </w:r>
      <w:r>
        <w:t xml:space="preserve"> </w:t>
      </w:r>
      <w:r>
        <w:t xml:space="preserve">QOR-FNCFLX-025</w:t>
      </w:r>
      <w:r>
        <w:br/>
      </w:r>
      <w:r>
        <w:rPr>
          <w:b/>
        </w:rPr>
        <w:t xml:space="preserve">skill_id:</w:t>
      </w:r>
      <w:r>
        <w:t xml:space="preserve"> </w:t>
      </w:r>
      <w:r>
        <w:t xml:space="preserve">senior-finacle-flexcube</w:t>
      </w:r>
      <w:r>
        <w:br/>
      </w:r>
      <w:r>
        <w:rPr>
          <w:b/>
        </w:rPr>
        <w:t xml:space="preserve">sub_skill_id:</w:t>
      </w:r>
      <w:r>
        <w:t xml:space="preserve"> </w:t>
      </w:r>
      <w:r>
        <w:t xml:space="preserve">digital-banking-advanced-sca</w:t>
      </w:r>
      <w:r>
        <w:br/>
      </w:r>
      <w:r>
        <w:rPr>
          <w:b/>
        </w:rPr>
        <w:t xml:space="preserve">format:</w:t>
      </w:r>
      <w:r>
        <w:t xml:space="preserve"> </w:t>
      </w:r>
      <w:r>
        <w:t xml:space="preserve">MCQ</w:t>
      </w:r>
      <w:r>
        <w:br/>
      </w:r>
      <w:r>
        <w:rPr>
          <w:b/>
        </w:rPr>
        <w:t xml:space="preserve">difficulty_b:</w:t>
      </w:r>
      <w:r>
        <w:t xml:space="preserve"> </w:t>
      </w:r>
      <w:r>
        <w:t xml:space="preserve">0.85 (Hard)</w:t>
      </w:r>
      <w:r>
        <w:br/>
      </w:r>
      <w:r>
        <w:rPr>
          <w:b/>
        </w:rPr>
        <w:t xml:space="preserve">discrimination_a:</w:t>
      </w:r>
      <w:r>
        <w:t xml:space="preserve"> </w:t>
      </w:r>
      <w:r>
        <w:t xml:space="preserve">1.6</w:t>
      </w:r>
      <w:r>
        <w:br/>
      </w:r>
      <w:r>
        <w:rPr>
          <w:b/>
        </w:rPr>
        <w:t xml:space="preserve">expected_duration_minutes:</w:t>
      </w:r>
      <w:r>
        <w:t xml:space="preserve"> </w:t>
      </w:r>
      <w:r>
        <w:t xml:space="preserve">7</w:t>
      </w:r>
      <w:r>
        <w:br/>
      </w:r>
      <w:r>
        <w:rPr>
          <w:b/>
        </w:rPr>
        <w:t xml:space="preserve">citation:</w:t>
      </w:r>
      <w:r>
        <w:t xml:space="preserve"> </w:t>
      </w:r>
      <w:r>
        <w:t xml:space="preserve">RBI Guidelines on Third-Party Provider (TPP) Access to Payment Systems (2021); Ayushman Bharat Digital Mission (ABDM) ID Authentication Standard v2.1</w:t>
      </w:r>
    </w:p>
    <w:p>
      <w:pPr>
        <w:pStyle w:val="BodyText"/>
      </w:pPr>
      <w:r>
        <w:rPr>
          <w:b/>
        </w:rPr>
        <w:t xml:space="preserve">body:</w:t>
      </w:r>
    </w:p>
    <w:p>
      <w:pPr>
        <w:pStyle w:val="BodyText"/>
      </w:pPr>
      <w:r>
        <w:t xml:space="preserve">A Finacle-integrated bank implements an equivalent to PSD2’s Strong Customer Authentication (SCA) using ABDM (Ayushman Bharat Digital Mission) ID for digital payment verification. A customer initiates a ₹1,00,000 fund transfer through a fintech TPP (Third-Party Provider). The Finacle system triggers a two-factor authentication: (1) OTP to the customer’s registered mobile via SMS, and (2) ABDM ID biometric verification (Aadhaar-linked). The customer completes the OTP step but skips the ABDM verification (biometric is optional in the bank’s configuration). The transaction proceeds. A month later, during an RBI audit, the regulator flags this as non-compliant SCA. Why?</w:t>
      </w:r>
    </w:p>
    <w:p>
      <w:pPr>
        <w:pStyle w:val="BodyText"/>
      </w:pPr>
      <w:r>
        <w:rPr>
          <w:b/>
        </w:rPr>
        <w:t xml:space="preserve">options:</w:t>
      </w:r>
    </w:p>
    <w:p>
      <w:pPr>
        <w:numPr>
          <w:ilvl w:val="1"/>
          <w:numId w:val="1022"/>
        </w:numPr>
        <w:pStyle w:val="Compact"/>
      </w:pPr>
      <w:r>
        <w:t xml:space="preserve">SMS OTP alone is insufficient for high-value transactions (₹1,00,000+); ABDM biometric is mandatory per RBI SCA mandate</w:t>
      </w:r>
    </w:p>
    <w:p>
      <w:pPr>
        <w:numPr>
          <w:ilvl w:val="1"/>
          <w:numId w:val="1023"/>
        </w:numPr>
        <w:pStyle w:val="Compact"/>
      </w:pPr>
      <w:r>
        <w:t xml:space="preserve">The bank did not enforce ABDM verification as a</w:t>
      </w:r>
      <w:r>
        <w:t xml:space="preserve"> </w:t>
      </w:r>
      <w:r>
        <w:rPr>
          <w:i/>
        </w:rPr>
        <w:t xml:space="preserve">distinct</w:t>
      </w:r>
      <w:r>
        <w:t xml:space="preserve"> </w:t>
      </w:r>
      <w:r>
        <w:t xml:space="preserve">authentication factor; the two factors must be from</w:t>
      </w:r>
      <w:r>
        <w:t xml:space="preserve"> </w:t>
      </w:r>
      <w:r>
        <w:rPr>
          <w:i/>
        </w:rPr>
        <w:t xml:space="preserve">different</w:t>
      </w:r>
      <w:r>
        <w:t xml:space="preserve"> </w:t>
      </w:r>
      <w:r>
        <w:t xml:space="preserve">categories (knowledge, possession, inherence)</w:t>
      </w:r>
    </w:p>
    <w:p>
      <w:pPr>
        <w:numPr>
          <w:ilvl w:val="1"/>
          <w:numId w:val="1024"/>
        </w:numPr>
        <w:pStyle w:val="Compact"/>
      </w:pPr>
      <w:r>
        <w:t xml:space="preserve">The bank failed to implement transaction-risk-based SCA; SCA rules must evaluate customer risk profile before deciding SCA strength</w:t>
      </w:r>
    </w:p>
    <w:p>
      <w:pPr>
        <w:numPr>
          <w:ilvl w:val="1"/>
          <w:numId w:val="1025"/>
        </w:numPr>
        <w:pStyle w:val="Compact"/>
      </w:pPr>
      <w:r>
        <w:t xml:space="preserve">The transaction amount (₹1,00,000) exceeds the daily SCA exemption threshold; no exemptions apply per RBI guidelines</w:t>
      </w:r>
    </w:p>
    <w:p>
      <w:pPr>
        <w:pStyle w:val="FirstParagraph"/>
      </w:pPr>
      <w:r>
        <w:rPr>
          <w:b/>
        </w:rPr>
        <w:t xml:space="preserve">answer_key:</w:t>
      </w:r>
    </w:p>
    <w:p>
      <w:pPr>
        <w:pStyle w:val="BodyText"/>
      </w:pPr>
      <w:r>
        <w:t xml:space="preserve">B — RBI’s SCA framework (inspired by PSD2 regulatory thinking) mandates that two authentication factors come from</w:t>
      </w:r>
      <w:r>
        <w:t xml:space="preserve"> </w:t>
      </w:r>
      <w:r>
        <w:rPr>
          <w:i/>
        </w:rPr>
        <w:t xml:space="preserve">distinct categories</w:t>
      </w:r>
      <w:r>
        <w:t xml:space="preserve">: Knowledge (password, OTP), Possession (hardware token, phone), and Inherence (biometric). SMS OTP is a</w:t>
      </w:r>
      <w:r>
        <w:t xml:space="preserve"> </w:t>
      </w:r>
      <w:r>
        <w:t xml:space="preserve">“</w:t>
      </w:r>
      <w:r>
        <w:t xml:space="preserve">Possession</w:t>
      </w:r>
      <w:r>
        <w:t xml:space="preserve">”</w:t>
      </w:r>
      <w:r>
        <w:t xml:space="preserve"> </w:t>
      </w:r>
      <w:r>
        <w:t xml:space="preserve">factor (SMS on phone). ABDM biometric is an</w:t>
      </w:r>
      <w:r>
        <w:t xml:space="preserve"> </w:t>
      </w:r>
      <w:r>
        <w:t xml:space="preserve">“</w:t>
      </w:r>
      <w:r>
        <w:t xml:space="preserve">Inherence</w:t>
      </w:r>
      <w:r>
        <w:t xml:space="preserve">”</w:t>
      </w:r>
      <w:r>
        <w:t xml:space="preserve"> </w:t>
      </w:r>
      <w:r>
        <w:t xml:space="preserve">factor. If the bank allows customers to skip the ABDM verification, the transaction effectively relies on a single Possession factor (OTP), not true multi-factor authentication. Option A confuses the amount with the SCA rule; option C (risk-based SCA) is a later enhancement and not the reason for this audit failure. References: RBI Master Direction on TPP Access (Section on SCA); PSD2 Strong Customer Authentication (EBA Guidelines) as reference (India-adapted).</w:t>
      </w:r>
    </w:p>
    <w:p>
      <w:pPr>
        <w:pStyle w:val="BodyText"/>
      </w:pPr>
      <w:r>
        <w:rPr>
          <w:b/>
        </w:rPr>
        <w:t xml:space="preserve">rubric:</w:t>
      </w:r>
    </w:p>
    <w:p>
      <w:pPr>
        <w:pStyle w:val="BodyText"/>
      </w:pPr>
      <w:r>
        <w:t xml:space="preserve">Hard MCQ; correct = 7 points, incorrect = 0. Partial credit (4 pts) if candidate selects A (amount-based trigger) but does not articulate the distinct-factor requirement.</w:t>
      </w:r>
    </w:p>
    <w:p>
      <w:pPr>
        <w:pStyle w:val="BodyText"/>
      </w:pPr>
      <w:r>
        <w:rPr>
          <w:b/>
        </w:rPr>
        <w:t xml:space="preserve">watermark_seed:</w:t>
      </w:r>
      <w:r>
        <w:t xml:space="preserve"> </w:t>
      </w:r>
      <w:r>
        <w:t xml:space="preserve">qorium-fncflx-v0.6-025-seed-3d2c6a9f</w:t>
      </w:r>
      <w:r>
        <w:br/>
      </w:r>
      <w:r>
        <w:rPr>
          <w:b/>
        </w:rPr>
        <w:t xml:space="preserve">variant_seed:</w:t>
      </w:r>
      <w:r>
        <w:t xml:space="preserve"> </w:t>
      </w:r>
      <w:r>
        <w:t xml:space="preserve">qorium-fncflx-v0.6-2026-05-03-025</w:t>
      </w:r>
      <w:r>
        <w:br/>
      </w:r>
      <w:r>
        <w:rPr>
          <w:b/>
        </w:rPr>
        <w:t xml:space="preserve">bias_check_notes:</w:t>
      </w:r>
      <w:r>
        <w:t xml:space="preserve"> </w:t>
      </w:r>
      <w:r>
        <w:t xml:space="preserve">No bias. ABDM + RBI SCA regulation; India-specific but universally applicable to Indian BFSI.</w:t>
      </w:r>
    </w:p>
    <w:p>
      <w:r>
        <w:pict>
          <v:rect style="width:0;height:1.5pt" o:hralign="center" o:hrstd="t" o:hr="t"/>
        </w:pict>
      </w:r>
    </w:p>
    <w:p>
      <w:pPr>
        <w:pStyle w:val="Heading2"/>
      </w:pPr>
      <w:bookmarkStart w:id="27" w:name="X7ddbe94933cb66298067a87176e8345725ea56e"/>
      <w:r>
        <w:t xml:space="preserve">SECTION 2: CORPORATE BANKING + TRADE FINANCE (5 questions)</w:t>
      </w:r>
      <w:bookmarkEnd w:id="27"/>
    </w:p>
    <w:p>
      <w:r>
        <w:pict>
          <v:rect style="width:0;height:1.5pt" o:hralign="center" o:hrstd="t" o:hr="t"/>
        </w:pict>
      </w:r>
    </w:p>
    <w:p>
      <w:pPr>
        <w:pStyle w:val="Heading3"/>
      </w:pPr>
      <w:bookmarkStart w:id="28" w:name="X362d3a0dc32f80290bd91c35e763482f17a6254"/>
      <w:r>
        <w:t xml:space="preserve">QUESTION 26: Letter of Credit (LC) Issuance in Flexcube — Financed vs. Unfinanced (Medium MCQ)</w:t>
      </w:r>
      <w:bookmarkEnd w:id="28"/>
    </w:p>
    <w:p>
      <w:pPr>
        <w:pStyle w:val="FirstParagraph"/>
      </w:pPr>
      <w:r>
        <w:rPr>
          <w:b/>
        </w:rPr>
        <w:t xml:space="preserve">question_id:</w:t>
      </w:r>
      <w:r>
        <w:t xml:space="preserve"> </w:t>
      </w:r>
      <w:r>
        <w:t xml:space="preserve">QOR-FNCFLX-026</w:t>
      </w:r>
      <w:r>
        <w:br/>
      </w:r>
      <w:r>
        <w:rPr>
          <w:b/>
        </w:rPr>
        <w:t xml:space="preserve">skill_id:</w:t>
      </w:r>
      <w:r>
        <w:t xml:space="preserve"> </w:t>
      </w:r>
      <w:r>
        <w:t xml:space="preserve">senior-finacle-flexcube</w:t>
      </w:r>
      <w:r>
        <w:br/>
      </w:r>
      <w:r>
        <w:rPr>
          <w:b/>
        </w:rPr>
        <w:t xml:space="preserve">sub_skill_id:</w:t>
      </w:r>
      <w:r>
        <w:t xml:space="preserve"> </w:t>
      </w:r>
      <w:r>
        <w:t xml:space="preserve">corporate-banking-tradefi</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Flexcube Trade Finance Module Configuration §2.3; ICC Uniform Customs and Practice for Documentary Credits (UCP 600)</w:t>
      </w:r>
    </w:p>
    <w:p>
      <w:pPr>
        <w:pStyle w:val="BodyText"/>
      </w:pPr>
      <w:r>
        <w:rPr>
          <w:b/>
        </w:rPr>
        <w:t xml:space="preserve">body:</w:t>
      </w:r>
    </w:p>
    <w:p>
      <w:pPr>
        <w:pStyle w:val="BodyText"/>
      </w:pPr>
      <w:r>
        <w:t xml:space="preserve">A Flexcube-configured bank issues a Financed Letter of Credit for an importer customer. The LC is for USD 500,000 against a shipment of textiles from an exporter in Vietnam. The importer’s sanctioned credit limit is USD 100,000. The bank issues the LC</w:t>
      </w:r>
      <w:r>
        <w:t xml:space="preserve"> </w:t>
      </w:r>
      <w:r>
        <w:t xml:space="preserve">“</w:t>
      </w:r>
      <w:r>
        <w:t xml:space="preserve">financed</w:t>
      </w:r>
      <w:r>
        <w:t xml:space="preserve">”</w:t>
      </w:r>
      <w:r>
        <w:t xml:space="preserve"> </w:t>
      </w:r>
      <w:r>
        <w:t xml:space="preserve">by placing a</w:t>
      </w:r>
      <w:r>
        <w:t xml:space="preserve"> </w:t>
      </w:r>
      <w:r>
        <w:t xml:space="preserve">“</w:t>
      </w:r>
      <w:r>
        <w:t xml:space="preserve">Deferred Payment Credit</w:t>
      </w:r>
      <w:r>
        <w:t xml:space="preserve">”</w:t>
      </w:r>
      <w:r>
        <w:t xml:space="preserve"> </w:t>
      </w:r>
      <w:r>
        <w:t xml:space="preserve">(DP) arrangement, where the importer does not need to pay the LC value upfront but will be charged interest on the deferred amount. In Flexcube, which accounting entry is generated at the moment of LC issuance?</w:t>
      </w:r>
    </w:p>
    <w:p>
      <w:pPr>
        <w:pStyle w:val="BodyText"/>
      </w:pPr>
      <w:r>
        <w:rPr>
          <w:b/>
        </w:rPr>
        <w:t xml:space="preserve">options:</w:t>
      </w:r>
    </w:p>
    <w:p>
      <w:pPr>
        <w:numPr>
          <w:ilvl w:val="1"/>
          <w:numId w:val="1027"/>
        </w:numPr>
        <w:pStyle w:val="Compact"/>
      </w:pPr>
      <w:r>
        <w:t xml:space="preserve">Debit: Customer’s Account (LC Liability); Credit: Revenue Account (Fee Income)</w:t>
      </w:r>
    </w:p>
    <w:p>
      <w:pPr>
        <w:numPr>
          <w:ilvl w:val="1"/>
          <w:numId w:val="1028"/>
        </w:numPr>
        <w:pStyle w:val="Compact"/>
      </w:pPr>
      <w:r>
        <w:t xml:space="preserve">Debit: Contingent Liability Account (Off-Balance-Sheet); Credit: Customer’s Sanctioned Credit Limit (utilization increase)</w:t>
      </w:r>
    </w:p>
    <w:p>
      <w:pPr>
        <w:numPr>
          <w:ilvl w:val="1"/>
          <w:numId w:val="1029"/>
        </w:numPr>
        <w:pStyle w:val="Compact"/>
      </w:pPr>
      <w:r>
        <w:t xml:space="preserve">Debit: Financed LC Receivable (Asset); Credit: Customer’s Loan Account (Principal disbursement)</w:t>
      </w:r>
    </w:p>
    <w:p>
      <w:pPr>
        <w:numPr>
          <w:ilvl w:val="1"/>
          <w:numId w:val="1030"/>
        </w:numPr>
        <w:pStyle w:val="Compact"/>
      </w:pPr>
      <w:r>
        <w:t xml:space="preserve">No accounting entry is generated at issuance; entries are posted when the LC is negotiated by the exporter</w:t>
      </w:r>
    </w:p>
    <w:p>
      <w:pPr>
        <w:pStyle w:val="FirstParagraph"/>
      </w:pPr>
      <w:r>
        <w:rPr>
          <w:b/>
        </w:rPr>
        <w:t xml:space="preserve">answer_key:</w:t>
      </w:r>
    </w:p>
    <w:p>
      <w:pPr>
        <w:pStyle w:val="BodyText"/>
      </w:pPr>
      <w:r>
        <w:t xml:space="preserve">C — In a Financed LC arrangement, the bank is essentially disbursing a loan to the importer to cover the LC value. At the moment of LC issuance, Flexcube records: (1) Debit: Financed LC Receivable (on the bank’s balance sheet as an asset), and (2) Credit: Customer’s Loan/Credit Account (the importer’s borrowing account). The customer is charged interest on this outstanding loan balance. In contrast, an Unfinanced LC (pure standby guarantee) would be recorded off-balance-sheet as a contingent liability only. References: Flexcube Trade Finance accounting model; ICC UCP 600 (LC mechanics).</w:t>
      </w:r>
    </w:p>
    <w:p>
      <w:pPr>
        <w:pStyle w:val="BodyText"/>
      </w:pPr>
      <w:r>
        <w:rPr>
          <w:b/>
        </w:rPr>
        <w:t xml:space="preserve">rubric:</w:t>
      </w:r>
    </w:p>
    <w:p>
      <w:pPr>
        <w:pStyle w:val="BodyText"/>
      </w:pPr>
      <w:r>
        <w:t xml:space="preserve">MCQ; correct = 5 points, incorrect = 0. Penalize if candidate selects B (contingent liability) without distinguishing financed vs. unfinanced LC structure.</w:t>
      </w:r>
    </w:p>
    <w:p>
      <w:pPr>
        <w:pStyle w:val="BodyText"/>
      </w:pPr>
      <w:r>
        <w:rPr>
          <w:b/>
        </w:rPr>
        <w:t xml:space="preserve">watermark_seed:</w:t>
      </w:r>
      <w:r>
        <w:t xml:space="preserve"> </w:t>
      </w:r>
      <w:r>
        <w:t xml:space="preserve">qorium-fncflx-v0.6-026-seed-9c3e2b7f</w:t>
      </w:r>
      <w:r>
        <w:br/>
      </w:r>
      <w:r>
        <w:rPr>
          <w:b/>
        </w:rPr>
        <w:t xml:space="preserve">variant_seed:</w:t>
      </w:r>
      <w:r>
        <w:t xml:space="preserve"> </w:t>
      </w:r>
      <w:r>
        <w:t xml:space="preserve">qorium-fncflx-v0.6-2026-05-03-026</w:t>
      </w:r>
      <w:r>
        <w:br/>
      </w:r>
      <w:r>
        <w:rPr>
          <w:b/>
        </w:rPr>
        <w:t xml:space="preserve">bias_check_notes:</w:t>
      </w:r>
      <w:r>
        <w:t xml:space="preserve"> </w:t>
      </w:r>
      <w:r>
        <w:t xml:space="preserve">No bias. Standard BFSI trade finance practice.</w:t>
      </w:r>
    </w:p>
    <w:p>
      <w:r>
        <w:pict>
          <v:rect style="width:0;height:1.5pt" o:hralign="center" o:hrstd="t" o:hr="t"/>
        </w:pict>
      </w:r>
    </w:p>
    <w:p>
      <w:pPr>
        <w:pStyle w:val="Heading3"/>
      </w:pPr>
      <w:bookmarkStart w:id="29" w:name="X76ae2f5f7db2a66744c60e66f841d94854f70b2"/>
      <w:r>
        <w:t xml:space="preserve">QUESTION 27: SWIFT GPI (Global Payments Innovation) Message Tracing in Finacle (Medium MCQ)</w:t>
      </w:r>
      <w:bookmarkEnd w:id="29"/>
    </w:p>
    <w:p>
      <w:pPr>
        <w:pStyle w:val="FirstParagraph"/>
      </w:pPr>
      <w:r>
        <w:rPr>
          <w:b/>
        </w:rPr>
        <w:t xml:space="preserve">question_id:</w:t>
      </w:r>
      <w:r>
        <w:t xml:space="preserve"> </w:t>
      </w:r>
      <w:r>
        <w:t xml:space="preserve">QOR-FNCFLX-027</w:t>
      </w:r>
      <w:r>
        <w:br/>
      </w:r>
      <w:r>
        <w:rPr>
          <w:b/>
        </w:rPr>
        <w:t xml:space="preserve">skill_id:</w:t>
      </w:r>
      <w:r>
        <w:t xml:space="preserve"> </w:t>
      </w:r>
      <w:r>
        <w:t xml:space="preserve">senior-finacle-flexcube</w:t>
      </w:r>
      <w:r>
        <w:br/>
      </w:r>
      <w:r>
        <w:rPr>
          <w:b/>
        </w:rPr>
        <w:t xml:space="preserve">sub_skill_id:</w:t>
      </w:r>
      <w:r>
        <w:t xml:space="preserve"> </w:t>
      </w:r>
      <w:r>
        <w:t xml:space="preserve">corporate-banking-swift-gpi</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SWIFT Standards: Global Payments Innovation (GPI) Handbook 2024; Finacle SWIFT Integration Module §5.1</w:t>
      </w:r>
    </w:p>
    <w:p>
      <w:pPr>
        <w:pStyle w:val="BodyText"/>
      </w:pPr>
      <w:r>
        <w:rPr>
          <w:b/>
        </w:rPr>
        <w:t xml:space="preserve">body:</w:t>
      </w:r>
    </w:p>
    <w:p>
      <w:pPr>
        <w:pStyle w:val="BodyText"/>
      </w:pPr>
      <w:r>
        <w:t xml:space="preserve">A Finacle-integrated corporate bank sends a SWIFT GPI payment (MT103+) for ₹50 Lakhs to a correspondent bank in Singapore. The payment originating customer (a Bangalore-based exporter) tracks the payment via the bank’s SWIFT GPI dashboard. The dashboard shows: (1) Payment sent by originating bank (IST 2:00 PM), (2) Received by intermediary bank in Malaysia (IST 3:15 PM), (3)</w:t>
      </w:r>
      <w:r>
        <w:t xml:space="preserve"> </w:t>
      </w:r>
      <w:r>
        <w:rPr>
          <w:b/>
        </w:rPr>
        <w:t xml:space="preserve">Stuck in intermediary bank’s queue</w:t>
      </w:r>
      <w:r>
        <w:t xml:space="preserve"> </w:t>
      </w:r>
      <w:r>
        <w:t xml:space="preserve">for 4 hours. The originating bank sends a SWIFT Amendments (MT107) to the intermediary bank to expedite the payment. The intermediary bank does not respond to the amendment. Per SWIFT GPI standards, what is the originating bank’s NEXT recommended action?</w:t>
      </w:r>
    </w:p>
    <w:p>
      <w:pPr>
        <w:pStyle w:val="BodyText"/>
      </w:pPr>
      <w:r>
        <w:rPr>
          <w:b/>
        </w:rPr>
        <w:t xml:space="preserve">options:</w:t>
      </w:r>
    </w:p>
    <w:p>
      <w:pPr>
        <w:numPr>
          <w:ilvl w:val="1"/>
          <w:numId w:val="1032"/>
        </w:numPr>
        <w:pStyle w:val="Compact"/>
      </w:pPr>
      <w:r>
        <w:t xml:space="preserve">Reverse the entire payment via MT196 (negative acknowledgment) and request the customer re-initiate with a different route</w:t>
      </w:r>
    </w:p>
    <w:p>
      <w:pPr>
        <w:numPr>
          <w:ilvl w:val="1"/>
          <w:numId w:val="1033"/>
        </w:numPr>
        <w:pStyle w:val="Compact"/>
      </w:pPr>
      <w:r>
        <w:t xml:space="preserve">Use SWIFT GPI’s</w:t>
      </w:r>
      <w:r>
        <w:t xml:space="preserve"> </w:t>
      </w:r>
      <w:r>
        <w:rPr>
          <w:b/>
        </w:rPr>
        <w:t xml:space="preserve">Request to Recall</w:t>
      </w:r>
      <w:r>
        <w:t xml:space="preserve"> </w:t>
      </w:r>
      <w:r>
        <w:t xml:space="preserve">(RtoR) mechanism to ask the intermediary bank for the status and apply SWIFT STP (Straight-Through Processing) priority</w:t>
      </w:r>
    </w:p>
    <w:p>
      <w:pPr>
        <w:numPr>
          <w:ilvl w:val="1"/>
          <w:numId w:val="1034"/>
        </w:numPr>
        <w:pStyle w:val="Compact"/>
      </w:pPr>
      <w:r>
        <w:t xml:space="preserve">Escalate to the correspondent bank in Singapore to pull the payment from the intermediary bank using a direct SWIFT MT900 (confirmation of debit)</w:t>
      </w:r>
    </w:p>
    <w:p>
      <w:pPr>
        <w:numPr>
          <w:ilvl w:val="1"/>
          <w:numId w:val="1035"/>
        </w:numPr>
        <w:pStyle w:val="Compact"/>
      </w:pPr>
      <w:r>
        <w:t xml:space="preserve">Wait for the intermediary bank to auto-process the payment after 24 hours (SWIFT SLA); if not cleared, then escalate to SWIFT Oversight Committee</w:t>
      </w:r>
    </w:p>
    <w:p>
      <w:pPr>
        <w:pStyle w:val="FirstParagraph"/>
      </w:pPr>
      <w:r>
        <w:rPr>
          <w:b/>
        </w:rPr>
        <w:t xml:space="preserve">answer_key:</w:t>
      </w:r>
    </w:p>
    <w:p>
      <w:pPr>
        <w:pStyle w:val="BodyText"/>
      </w:pPr>
      <w:r>
        <w:t xml:space="preserve">B — SWIFT GPI introduced the</w:t>
      </w:r>
      <w:r>
        <w:t xml:space="preserve"> </w:t>
      </w:r>
      <w:r>
        <w:rPr>
          <w:b/>
        </w:rPr>
        <w:t xml:space="preserve">Request to Recall</w:t>
      </w:r>
      <w:r>
        <w:t xml:space="preserve"> </w:t>
      </w:r>
      <w:r>
        <w:t xml:space="preserve">(RtoR) mechanism specifically to handle stuck or delayed payments. The originating bank sends an RtoR instruction to request the intermediary bank to return the payment or expedite it. Additionally, SWIFT GPI supports STP (Straight-Through Processing) tagging to prioritize high-value international payments. Options A (reverse) and C (direct pull) are not standard GPI mechanics. Option D (24-hour auto-process) is not SWIFT SLA. References: SWIFT GPI Handbook (RtoR feature); Finacle SWIFT MT107/RtoR configuration.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qorium-fncflx-v0.6-027-seed-7f4c2b5d</w:t>
      </w:r>
      <w:r>
        <w:br/>
      </w:r>
      <w:r>
        <w:rPr>
          <w:b/>
        </w:rPr>
        <w:t xml:space="preserve">variant_seed:</w:t>
      </w:r>
      <w:r>
        <w:t xml:space="preserve"> </w:t>
      </w:r>
      <w:r>
        <w:t xml:space="preserve">qorium-fncflx-v0.6-2026-05-03-027</w:t>
      </w:r>
      <w:r>
        <w:br/>
      </w:r>
      <w:r>
        <w:rPr>
          <w:b/>
        </w:rPr>
        <w:t xml:space="preserve">bias_check_notes:</w:t>
      </w:r>
      <w:r>
        <w:t xml:space="preserve"> </w:t>
      </w:r>
      <w:r>
        <w:t xml:space="preserve">No bias. SWIFT GPI is international standard; applicable to Indian BFSI.</w:t>
      </w:r>
    </w:p>
    <w:p>
      <w:r>
        <w:pict>
          <v:rect style="width:0;height:1.5pt" o:hralign="center" o:hrstd="t" o:hr="t"/>
        </w:pict>
      </w:r>
    </w:p>
    <w:p>
      <w:pPr>
        <w:pStyle w:val="Heading3"/>
      </w:pPr>
      <w:bookmarkStart w:id="30" w:name="X1d05e7ed38746fa9ffe20e54fc21fd83c694155"/>
      <w:r>
        <w:t xml:space="preserve">QUESTION 28: Forex Forwards + NDF (Non-Deliverable Forward) Pricing in Flexcube (Hard MCQ)</w:t>
      </w:r>
      <w:bookmarkEnd w:id="30"/>
    </w:p>
    <w:p>
      <w:pPr>
        <w:pStyle w:val="FirstParagraph"/>
      </w:pPr>
      <w:r>
        <w:rPr>
          <w:b/>
        </w:rPr>
        <w:t xml:space="preserve">question_id:</w:t>
      </w:r>
      <w:r>
        <w:t xml:space="preserve"> </w:t>
      </w:r>
      <w:r>
        <w:t xml:space="preserve">QOR-FNCFLX-028</w:t>
      </w:r>
      <w:r>
        <w:br/>
      </w:r>
      <w:r>
        <w:rPr>
          <w:b/>
        </w:rPr>
        <w:t xml:space="preserve">skill_id:</w:t>
      </w:r>
      <w:r>
        <w:t xml:space="preserve"> </w:t>
      </w:r>
      <w:r>
        <w:t xml:space="preserve">senior-finacle-flexcube</w:t>
      </w:r>
      <w:r>
        <w:br/>
      </w:r>
      <w:r>
        <w:rPr>
          <w:b/>
        </w:rPr>
        <w:t xml:space="preserve">sub_skill_id:</w:t>
      </w:r>
      <w:r>
        <w:t xml:space="preserve"> </w:t>
      </w:r>
      <w:r>
        <w:t xml:space="preserve">corporate-banking-forex</w:t>
      </w:r>
      <w:r>
        <w:br/>
      </w:r>
      <w:r>
        <w:rPr>
          <w:b/>
        </w:rPr>
        <w:t xml:space="preserve">format:</w:t>
      </w:r>
      <w:r>
        <w:t xml:space="preserve"> </w:t>
      </w:r>
      <w:r>
        <w:t xml:space="preserve">MCQ</w:t>
      </w:r>
      <w:r>
        <w:br/>
      </w:r>
      <w:r>
        <w:rPr>
          <w:b/>
        </w:rPr>
        <w:t xml:space="preserve">difficulty_b:</w:t>
      </w:r>
      <w:r>
        <w:t xml:space="preserve"> </w:t>
      </w:r>
      <w:r>
        <w:t xml:space="preserve">0.75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Flexcube Forex Derivatives Configuration §4.2; RBI Master Circular on Risk Management in Banks (2016, as amended); Barclays Forex Derivatives Pricing Model</w:t>
      </w:r>
    </w:p>
    <w:p>
      <w:pPr>
        <w:pStyle w:val="BodyText"/>
      </w:pPr>
      <w:r>
        <w:rPr>
          <w:b/>
        </w:rPr>
        <w:t xml:space="preserve">body:</w:t>
      </w:r>
    </w:p>
    <w:p>
      <w:pPr>
        <w:pStyle w:val="BodyText"/>
      </w:pPr>
      <w:r>
        <w:t xml:space="preserve">A Flexcube Treasury system is pricing a 6-month USD/INR Forex Forward for a corporate customer. The spot rate is USD 1 = ₹83.50. The USD interest rate (SOFR) is 5.5% p.a., and the INR interest rate (MIBOR) is 7.2% p.a. Using interest-rate parity, the forward rate should be approximately USD 1 = ₹81.95 (INR depreciation due to higher INR rates). However, the Flexcube system is pricing the forward at USD 1 = ₹82.85. A junior trader suspects the system has a bug. Upon investigation, the difference is explained by:</w:t>
      </w:r>
    </w:p>
    <w:p>
      <w:pPr>
        <w:pStyle w:val="BodyText"/>
      </w:pPr>
      <w:r>
        <w:rPr>
          <w:b/>
        </w:rPr>
        <w:t xml:space="preserve">options:</w:t>
      </w:r>
    </w:p>
    <w:p>
      <w:pPr>
        <w:numPr>
          <w:ilvl w:val="1"/>
          <w:numId w:val="1037"/>
        </w:numPr>
        <w:pStyle w:val="Compact"/>
      </w:pPr>
      <w:r>
        <w:t xml:space="preserve">The Flexcube system is adding a risk premium (bid-ask spread) due to intraday volatility and counterparty credit risk</w:t>
      </w:r>
    </w:p>
    <w:p>
      <w:pPr>
        <w:numPr>
          <w:ilvl w:val="1"/>
          <w:numId w:val="1038"/>
        </w:numPr>
        <w:pStyle w:val="Compact"/>
      </w:pPr>
      <w:r>
        <w:t xml:space="preserve">The system is hedging against rupee appreciation risk by applying a volatility adjustment (higher rate = lower INR value)</w:t>
      </w:r>
    </w:p>
    <w:p>
      <w:pPr>
        <w:numPr>
          <w:ilvl w:val="1"/>
          <w:numId w:val="1039"/>
        </w:numPr>
        <w:pStyle w:val="Compact"/>
      </w:pPr>
      <w:r>
        <w:t xml:space="preserve">The calculation is based on a Non-Deliverable Forward (NDF) framework, which uses settlement-date spot rates instead of forward parity</w:t>
      </w:r>
    </w:p>
    <w:p>
      <w:pPr>
        <w:numPr>
          <w:ilvl w:val="1"/>
          <w:numId w:val="1040"/>
        </w:numPr>
        <w:pStyle w:val="Compact"/>
      </w:pPr>
      <w:r>
        <w:t xml:space="preserve">The system is applying RBI’s 2% regulatory premium on all forex forwards to ensure customer protection margin</w:t>
      </w:r>
    </w:p>
    <w:p>
      <w:pPr>
        <w:pStyle w:val="FirstParagraph"/>
      </w:pPr>
      <w:r>
        <w:rPr>
          <w:b/>
        </w:rPr>
        <w:t xml:space="preserve">answer_key:</w:t>
      </w:r>
    </w:p>
    <w:p>
      <w:pPr>
        <w:pStyle w:val="BodyText"/>
      </w:pPr>
      <w:r>
        <w:t xml:space="preserve">A — The theoretical forward rate using interest-rate parity is ₹81.95, but actual market rates deviate due to bid-ask spreads, counterparty credit risk, and volatility adjustments. The bank’s Flexcube system is adding a risk premium (e.g., 0.9 paise in this case: ₹82.85 vs. ₹81.95) to account for these market factors. This is normal and expected. Option C (NDF pricing) is incorrect because NDFs use a cash settlement mechanism but still follow interest-rate parity logic. Option D (RBI 2% premium) is a fabrication. References: Flexcube Treasury pricing model; Interest Rate Parity theory; RBI Master Circular on Risk Management.</w:t>
      </w:r>
    </w:p>
    <w:p>
      <w:pPr>
        <w:pStyle w:val="BodyText"/>
      </w:pPr>
      <w:r>
        <w:rPr>
          <w:b/>
        </w:rPr>
        <w:t xml:space="preserve">rubric:</w:t>
      </w:r>
    </w:p>
    <w:p>
      <w:pPr>
        <w:pStyle w:val="BodyText"/>
      </w:pPr>
      <w:r>
        <w:t xml:space="preserve">Hard MCQ; correct = 6 points, incorrect = 0. Partial credit (3 pts) if candidate identifies the rate difference is due to market factors but does not articulate the specific risk premium mechanism.</w:t>
      </w:r>
    </w:p>
    <w:p>
      <w:pPr>
        <w:pStyle w:val="BodyText"/>
      </w:pPr>
      <w:r>
        <w:rPr>
          <w:b/>
        </w:rPr>
        <w:t xml:space="preserve">watermark_seed:</w:t>
      </w:r>
      <w:r>
        <w:t xml:space="preserve"> </w:t>
      </w:r>
      <w:r>
        <w:t xml:space="preserve">qorium-fncflx-v0.6-028-seed-5e9d1c3a</w:t>
      </w:r>
      <w:r>
        <w:br/>
      </w:r>
      <w:r>
        <w:rPr>
          <w:b/>
        </w:rPr>
        <w:t xml:space="preserve">variant_seed:</w:t>
      </w:r>
      <w:r>
        <w:t xml:space="preserve"> </w:t>
      </w:r>
      <w:r>
        <w:t xml:space="preserve">qorium-fncflx-v0.6-2026-05-03-028</w:t>
      </w:r>
      <w:r>
        <w:br/>
      </w:r>
      <w:r>
        <w:rPr>
          <w:b/>
        </w:rPr>
        <w:t xml:space="preserve">bias_check_notes:</w:t>
      </w:r>
      <w:r>
        <w:t xml:space="preserve"> </w:t>
      </w:r>
      <w:r>
        <w:t xml:space="preserve">No bias. Forex pricing is universal banking practice; technical depth acceptable.</w:t>
      </w:r>
    </w:p>
    <w:p>
      <w:r>
        <w:pict>
          <v:rect style="width:0;height:1.5pt" o:hralign="center" o:hrstd="t" o:hr="t"/>
        </w:pict>
      </w:r>
    </w:p>
    <w:p>
      <w:pPr>
        <w:pStyle w:val="Heading3"/>
      </w:pPr>
      <w:bookmarkStart w:id="31" w:name="X7e2970d2b6f010dee4ad47f98f787ed6a141134"/>
      <w:r>
        <w:t xml:space="preserve">QUESTION 29: Trade Finance — Bank Guarantee (BG) Invocation and Realisation in Flexcube (Hard MCQ)</w:t>
      </w:r>
      <w:bookmarkEnd w:id="31"/>
    </w:p>
    <w:p>
      <w:pPr>
        <w:pStyle w:val="FirstParagraph"/>
      </w:pPr>
      <w:r>
        <w:rPr>
          <w:b/>
        </w:rPr>
        <w:t xml:space="preserve">question_id:</w:t>
      </w:r>
      <w:r>
        <w:t xml:space="preserve"> </w:t>
      </w:r>
      <w:r>
        <w:t xml:space="preserve">QOR-FNCFLX-029</w:t>
      </w:r>
      <w:r>
        <w:br/>
      </w:r>
      <w:r>
        <w:rPr>
          <w:b/>
        </w:rPr>
        <w:t xml:space="preserve">skill_id:</w:t>
      </w:r>
      <w:r>
        <w:t xml:space="preserve"> </w:t>
      </w:r>
      <w:r>
        <w:t xml:space="preserve">senior-finacle-flexcube</w:t>
      </w:r>
      <w:r>
        <w:br/>
      </w:r>
      <w:r>
        <w:rPr>
          <w:b/>
        </w:rPr>
        <w:t xml:space="preserve">sub_skill_id:</w:t>
      </w:r>
      <w:r>
        <w:t xml:space="preserve"> </w:t>
      </w:r>
      <w:r>
        <w:t xml:space="preserve">corporate-banking-bg</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Flexcube Trade Finance §3.4 (BG Module); ICC Uniform Rules for Demand Guarantees (URDG 758)</w:t>
      </w:r>
    </w:p>
    <w:p>
      <w:pPr>
        <w:pStyle w:val="BodyText"/>
      </w:pPr>
      <w:r>
        <w:rPr>
          <w:b/>
        </w:rPr>
        <w:t xml:space="preserve">body:</w:t>
      </w:r>
    </w:p>
    <w:p>
      <w:pPr>
        <w:pStyle w:val="BodyText"/>
      </w:pPr>
      <w:r>
        <w:t xml:space="preserve">A Flexcube-configured bank issues a Bank Guarantee (BG) for ₹2 Cr on behalf of a construction contractor (customer) in favor of the project owner (beneficiary). The BG validity is 24 months, with a</w:t>
      </w:r>
      <w:r>
        <w:t xml:space="preserve"> </w:t>
      </w:r>
      <w:r>
        <w:t xml:space="preserve">“</w:t>
      </w:r>
      <w:r>
        <w:t xml:space="preserve">one-time invocation</w:t>
      </w:r>
      <w:r>
        <w:t xml:space="preserve">”</w:t>
      </w:r>
      <w:r>
        <w:t xml:space="preserve"> </w:t>
      </w:r>
      <w:r>
        <w:t xml:space="preserve">clause. On month 15, the project owner invokes the BG claiming the contractor defaulted on site work. The contractor disputes the claim and requests the bank to verify the contractor’s account position before honoring the invocation. The Flexcube system shows the contractor still maintains a credit balance and no default alert has been triggered in the system. Per URDG 758 and Flexcube policy, can the bank refuse to pay the beneficiary?</w:t>
      </w:r>
    </w:p>
    <w:p>
      <w:pPr>
        <w:pStyle w:val="BodyText"/>
      </w:pPr>
      <w:r>
        <w:rPr>
          <w:b/>
        </w:rPr>
        <w:t xml:space="preserve">options:</w:t>
      </w:r>
    </w:p>
    <w:p>
      <w:pPr>
        <w:numPr>
          <w:ilvl w:val="1"/>
          <w:numId w:val="1042"/>
        </w:numPr>
        <w:pStyle w:val="Compact"/>
      </w:pPr>
      <w:r>
        <w:t xml:space="preserve">Yes, the bank can refuse because the contractor’s account shows good standing; the claim is likely fraudulent</w:t>
      </w:r>
    </w:p>
    <w:p>
      <w:pPr>
        <w:numPr>
          <w:ilvl w:val="1"/>
          <w:numId w:val="1043"/>
        </w:numPr>
        <w:pStyle w:val="Compact"/>
      </w:pPr>
      <w:r>
        <w:t xml:space="preserve">No, the bank must honor the invocation if the claim documents meet the stated conditions in the BG (e.g.,</w:t>
      </w:r>
      <w:r>
        <w:t xml:space="preserve"> </w:t>
      </w:r>
      <w:r>
        <w:t xml:space="preserve">“</w:t>
      </w:r>
      <w:r>
        <w:t xml:space="preserve">contractor default</w:t>
      </w:r>
      <w:r>
        <w:t xml:space="preserve">”</w:t>
      </w:r>
      <w:r>
        <w:t xml:space="preserve">); the account standing is irrelevant</w:t>
      </w:r>
    </w:p>
    <w:p>
      <w:pPr>
        <w:numPr>
          <w:ilvl w:val="1"/>
          <w:numId w:val="1044"/>
        </w:numPr>
        <w:pStyle w:val="Compact"/>
      </w:pPr>
      <w:r>
        <w:t xml:space="preserve">No, but the bank can place a hold on the amount for 30 days pending regulatory review; the contractor can request a freeze order</w:t>
      </w:r>
    </w:p>
    <w:p>
      <w:pPr>
        <w:numPr>
          <w:ilvl w:val="1"/>
          <w:numId w:val="1045"/>
        </w:numPr>
        <w:pStyle w:val="Compact"/>
      </w:pPr>
      <w:r>
        <w:t xml:space="preserve">Yes, the bank must verify the contractor’s cross-default status (e.g., loan arrears, cheque bounces) before honoring the invocation</w:t>
      </w:r>
    </w:p>
    <w:p>
      <w:pPr>
        <w:pStyle w:val="FirstParagraph"/>
      </w:pPr>
      <w:r>
        <w:rPr>
          <w:b/>
        </w:rPr>
        <w:t xml:space="preserve">answer_key:</w:t>
      </w:r>
    </w:p>
    <w:p>
      <w:pPr>
        <w:pStyle w:val="BodyText"/>
      </w:pPr>
      <w:r>
        <w:t xml:space="preserve">B — Per URDG 758 (Uniform Rules for Demand Guarantees), the guarantor (bank) is obligated to honor the demand upon first presentation of the stated documents. The guarantor’s assessment of the underlying dispute (contractor vs. project owner) is NOT the bank’s role. Even if the contractor’s account is in good standing, if the claim documents meet the terms of the guarantee, payment must be made. This is the principle of autonomy of guarantees. The bank can later pursue a subrogation claim against the contractor if the claim was fraudulent, but the initial obligation is to pay. References: URDG 758 (Articles 15–17); Flexcube BG honor/payment policy.</w:t>
      </w:r>
    </w:p>
    <w:p>
      <w:pPr>
        <w:pStyle w:val="BodyText"/>
      </w:pPr>
      <w:r>
        <w:rPr>
          <w:b/>
        </w:rPr>
        <w:t xml:space="preserve">rubric:</w:t>
      </w:r>
    </w:p>
    <w:p>
      <w:pPr>
        <w:pStyle w:val="BodyText"/>
      </w:pPr>
      <w:r>
        <w:t xml:space="preserve">Hard MCQ; correct = 6 points, incorrect = 0. Partial credit (2 pts) if candidate selects C (hold pending review) based on internal process, but penalize for misunderstanding URDG autonomy principle.</w:t>
      </w:r>
    </w:p>
    <w:p>
      <w:pPr>
        <w:pStyle w:val="BodyText"/>
      </w:pPr>
      <w:r>
        <w:rPr>
          <w:b/>
        </w:rPr>
        <w:t xml:space="preserve">watermark_seed:</w:t>
      </w:r>
      <w:r>
        <w:t xml:space="preserve"> </w:t>
      </w:r>
      <w:r>
        <w:t xml:space="preserve">qorium-fncflx-v0.6-029-seed-2b5f9e8a</w:t>
      </w:r>
      <w:r>
        <w:br/>
      </w:r>
      <w:r>
        <w:rPr>
          <w:b/>
        </w:rPr>
        <w:t xml:space="preserve">variant_seed:</w:t>
      </w:r>
      <w:r>
        <w:t xml:space="preserve"> </w:t>
      </w:r>
      <w:r>
        <w:t xml:space="preserve">qorium-fncflx-v0.6-2026-05-03-029</w:t>
      </w:r>
      <w:r>
        <w:br/>
      </w:r>
      <w:r>
        <w:rPr>
          <w:b/>
        </w:rPr>
        <w:t xml:space="preserve">bias_check_notes:</w:t>
      </w:r>
      <w:r>
        <w:t xml:space="preserve"> </w:t>
      </w:r>
      <w:r>
        <w:t xml:space="preserve">No bias. Standard BFSI guarantee practice; URDG 758 is international standard.</w:t>
      </w:r>
    </w:p>
    <w:p>
      <w:r>
        <w:pict>
          <v:rect style="width:0;height:1.5pt" o:hralign="center" o:hrstd="t" o:hr="t"/>
        </w:pict>
      </w:r>
    </w:p>
    <w:p>
      <w:pPr>
        <w:pStyle w:val="Heading2"/>
      </w:pPr>
      <w:bookmarkStart w:id="32" w:name="Xc5e56d37a243193b61ed79867dc6797a86170df"/>
      <w:r>
        <w:t xml:space="preserve">SECTION 3: RISK + COMPLIANCE ADVANCED (5 questions)</w:t>
      </w:r>
      <w:bookmarkEnd w:id="32"/>
    </w:p>
    <w:p>
      <w:r>
        <w:pict>
          <v:rect style="width:0;height:1.5pt" o:hralign="center" o:hrstd="t" o:hr="t"/>
        </w:pict>
      </w:r>
    </w:p>
    <w:p>
      <w:pPr>
        <w:pStyle w:val="Heading3"/>
      </w:pPr>
      <w:bookmarkStart w:id="33" w:name="X264543fe89af39a5d08eeb8b61ed4bb5a56898e"/>
      <w:r>
        <w:t xml:space="preserve">QUESTION 30: Real-Time KYC/AML Integration — NICE Actimize Rules Engine in Finacle (Medium MCQ)</w:t>
      </w:r>
      <w:bookmarkEnd w:id="33"/>
    </w:p>
    <w:p>
      <w:pPr>
        <w:pStyle w:val="FirstParagraph"/>
      </w:pPr>
      <w:r>
        <w:rPr>
          <w:b/>
        </w:rPr>
        <w:t xml:space="preserve">question_id:</w:t>
      </w:r>
      <w:r>
        <w:t xml:space="preserve"> </w:t>
      </w:r>
      <w:r>
        <w:t xml:space="preserve">QOR-FNCFLX-030</w:t>
      </w:r>
      <w:r>
        <w:br/>
      </w:r>
      <w:r>
        <w:rPr>
          <w:b/>
        </w:rPr>
        <w:t xml:space="preserve">skill_id:</w:t>
      </w:r>
      <w:r>
        <w:t xml:space="preserve"> </w:t>
      </w:r>
      <w:r>
        <w:t xml:space="preserve">senior-finacle-flexcube</w:t>
      </w:r>
      <w:r>
        <w:br/>
      </w:r>
      <w:r>
        <w:rPr>
          <w:b/>
        </w:rPr>
        <w:t xml:space="preserve">sub_skill_id:</w:t>
      </w:r>
      <w:r>
        <w:t xml:space="preserve"> </w:t>
      </w:r>
      <w:r>
        <w:t xml:space="preserve">risk-compliance-aml</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NICE Actimize Compliance Rules Engine Documentation §5.2; Finacle-Actimize Integration Guide; RBI Master Direction on KYC (2016)</w:t>
      </w:r>
    </w:p>
    <w:p>
      <w:pPr>
        <w:pStyle w:val="BodyText"/>
      </w:pPr>
      <w:r>
        <w:rPr>
          <w:b/>
        </w:rPr>
        <w:t xml:space="preserve">body:</w:t>
      </w:r>
    </w:p>
    <w:p>
      <w:pPr>
        <w:pStyle w:val="BodyText"/>
      </w:pPr>
      <w:r>
        <w:t xml:space="preserve">A Finacle system is integrated with NICE Actimize for real-time AML transaction screening. A customer attempts a ₹50 Lakhs international wire transfer. The Actimize engine evaluates the transaction against 50+ dynamic rules (e.g., customer risk score, transaction velocity, beneficiary sanctions status, geographic risk). Actimize flags the transaction with a</w:t>
      </w:r>
      <w:r>
        <w:t xml:space="preserve"> </w:t>
      </w:r>
      <w:r>
        <w:t xml:space="preserve">“</w:t>
      </w:r>
      <w:r>
        <w:t xml:space="preserve">REVIEW</w:t>
      </w:r>
      <w:r>
        <w:t xml:space="preserve">”</w:t>
      </w:r>
      <w:r>
        <w:t xml:space="preserve"> </w:t>
      </w:r>
      <w:r>
        <w:t xml:space="preserve">status (not a hard BLOCK). The customer has been with the bank for 12 years, has a clean transaction history, and the transaction is consistent with their business profile. Per RBI mandate, what is the bank’s NEXT action?</w:t>
      </w:r>
    </w:p>
    <w:p>
      <w:pPr>
        <w:pStyle w:val="BodyText"/>
      </w:pPr>
      <w:r>
        <w:rPr>
          <w:b/>
        </w:rPr>
        <w:t xml:space="preserve">options:</w:t>
      </w:r>
    </w:p>
    <w:p>
      <w:pPr>
        <w:numPr>
          <w:ilvl w:val="1"/>
          <w:numId w:val="1047"/>
        </w:numPr>
        <w:pStyle w:val="Compact"/>
      </w:pPr>
      <w:r>
        <w:t xml:space="preserve">Auto-approve the transaction within 2 hours; document the Actimize override in the AML audit trail</w:t>
      </w:r>
    </w:p>
    <w:p>
      <w:pPr>
        <w:numPr>
          <w:ilvl w:val="1"/>
          <w:numId w:val="1048"/>
        </w:numPr>
        <w:pStyle w:val="Compact"/>
      </w:pPr>
      <w:r>
        <w:t xml:space="preserve">Escalate to the Compliance team for manual review; place a 24-hour hold on the transaction pending review completion</w:t>
      </w:r>
    </w:p>
    <w:p>
      <w:pPr>
        <w:numPr>
          <w:ilvl w:val="1"/>
          <w:numId w:val="1049"/>
        </w:numPr>
        <w:pStyle w:val="Compact"/>
      </w:pPr>
      <w:r>
        <w:t xml:space="preserve">Reject the transaction and request the customer provide additional KYC documentation (employment letter, business registration)</w:t>
      </w:r>
    </w:p>
    <w:p>
      <w:pPr>
        <w:numPr>
          <w:ilvl w:val="1"/>
          <w:numId w:val="1050"/>
        </w:numPr>
        <w:pStyle w:val="Compact"/>
      </w:pPr>
      <w:r>
        <w:t xml:space="preserve">Approve the transaction but file a Suspicious Transaction Report (STR) with FIU-IND regardless of the review outcome</w:t>
      </w:r>
    </w:p>
    <w:p>
      <w:pPr>
        <w:pStyle w:val="FirstParagraph"/>
      </w:pPr>
      <w:r>
        <w:rPr>
          <w:b/>
        </w:rPr>
        <w:t xml:space="preserve">answer_key:</w:t>
      </w:r>
    </w:p>
    <w:p>
      <w:pPr>
        <w:pStyle w:val="BodyText"/>
      </w:pPr>
      <w:r>
        <w:t xml:space="preserve">B — Per RBI AML guidelines, a</w:t>
      </w:r>
      <w:r>
        <w:t xml:space="preserve"> </w:t>
      </w:r>
      <w:r>
        <w:t xml:space="preserve">“</w:t>
      </w:r>
      <w:r>
        <w:t xml:space="preserve">REVIEW</w:t>
      </w:r>
      <w:r>
        <w:t xml:space="preserve">”</w:t>
      </w:r>
      <w:r>
        <w:t xml:space="preserve"> </w:t>
      </w:r>
      <w:r>
        <w:t xml:space="preserve">flag from the rules engine requires escalation to the Compliance/AML team for manual investigation. The bank must not auto-approve based on historical clean standing alone. A 24-hour hold is reasonable for standard transactions (per DBOD guidelines; high-risk or emergency scenarios may have shorter windows). Option A (auto-approve) violates KYC/AML due diligence. Option C (reject + additional KYC) is excessive for a</w:t>
      </w:r>
      <w:r>
        <w:t xml:space="preserve"> </w:t>
      </w:r>
      <w:r>
        <w:t xml:space="preserve">“</w:t>
      </w:r>
      <w:r>
        <w:t xml:space="preserve">REVIEW</w:t>
      </w:r>
      <w:r>
        <w:t xml:space="preserve">”</w:t>
      </w:r>
      <w:r>
        <w:t xml:space="preserve"> </w:t>
      </w:r>
      <w:r>
        <w:t xml:space="preserve">status (more appropriate for</w:t>
      </w:r>
      <w:r>
        <w:t xml:space="preserve"> </w:t>
      </w:r>
      <w:r>
        <w:t xml:space="preserve">“</w:t>
      </w:r>
      <w:r>
        <w:t xml:space="preserve">BLOCK</w:t>
      </w:r>
      <w:r>
        <w:t xml:space="preserve">”</w:t>
      </w:r>
      <w:r>
        <w:t xml:space="preserve"> </w:t>
      </w:r>
      <w:r>
        <w:t xml:space="preserve">status). Option D (auto-file STR) is premature; STR is filed after investigation, not before. References: RBI Master Direction on KYC (Section on AML Procedures); Finacle-Actimize integration best practices.</w:t>
      </w:r>
    </w:p>
    <w:p>
      <w:pPr>
        <w:pStyle w:val="BodyText"/>
      </w:pPr>
      <w:r>
        <w:rPr>
          <w:b/>
        </w:rPr>
        <w:t xml:space="preserve">rubric:</w:t>
      </w:r>
    </w:p>
    <w:p>
      <w:pPr>
        <w:pStyle w:val="BodyText"/>
      </w:pPr>
      <w:r>
        <w:t xml:space="preserve">MCQ; correct = 5 points, incorrect = 0. Partial credit (3 pts) if candidate identifies manual review is needed but does not articulate the hold period.</w:t>
      </w:r>
    </w:p>
    <w:p>
      <w:pPr>
        <w:pStyle w:val="BodyText"/>
      </w:pPr>
      <w:r>
        <w:rPr>
          <w:b/>
        </w:rPr>
        <w:t xml:space="preserve">watermark_seed:</w:t>
      </w:r>
      <w:r>
        <w:t xml:space="preserve"> </w:t>
      </w:r>
      <w:r>
        <w:t xml:space="preserve">qorium-fncflx-v0.6-030-seed-1c4a6d7e</w:t>
      </w:r>
      <w:r>
        <w:br/>
      </w:r>
      <w:r>
        <w:rPr>
          <w:b/>
        </w:rPr>
        <w:t xml:space="preserve">variant_seed:</w:t>
      </w:r>
      <w:r>
        <w:t xml:space="preserve"> </w:t>
      </w:r>
      <w:r>
        <w:t xml:space="preserve">qorium-fncflx-v0.6-2026-05-03-030</w:t>
      </w:r>
      <w:r>
        <w:br/>
      </w:r>
      <w:r>
        <w:rPr>
          <w:b/>
        </w:rPr>
        <w:t xml:space="preserve">bias_check_notes:</w:t>
      </w:r>
      <w:r>
        <w:t xml:space="preserve"> </w:t>
      </w:r>
      <w:r>
        <w:t xml:space="preserve">No bias. RBI-mandated AML procedures; universally applicable.</w:t>
      </w:r>
    </w:p>
    <w:p>
      <w:r>
        <w:pict>
          <v:rect style="width:0;height:1.5pt" o:hralign="center" o:hrstd="t" o:hr="t"/>
        </w:pict>
      </w:r>
    </w:p>
    <w:p>
      <w:pPr>
        <w:pStyle w:val="Heading3"/>
      </w:pPr>
      <w:bookmarkStart w:id="34" w:name="Xe81d49076fb2021ec94bb58edf3946a43f385ad"/>
      <w:r>
        <w:t xml:space="preserve">QUESTION 31: Sanctions Screening — OFAC + RBI Caution List Integration (Medium MCQ)</w:t>
      </w:r>
      <w:bookmarkEnd w:id="34"/>
    </w:p>
    <w:p>
      <w:pPr>
        <w:pStyle w:val="FirstParagraph"/>
      </w:pPr>
      <w:r>
        <w:rPr>
          <w:b/>
        </w:rPr>
        <w:t xml:space="preserve">question_id:</w:t>
      </w:r>
      <w:r>
        <w:t xml:space="preserve"> </w:t>
      </w:r>
      <w:r>
        <w:t xml:space="preserve">QOR-FNCFLX-031</w:t>
      </w:r>
      <w:r>
        <w:br/>
      </w:r>
      <w:r>
        <w:rPr>
          <w:b/>
        </w:rPr>
        <w:t xml:space="preserve">skill_id:</w:t>
      </w:r>
      <w:r>
        <w:t xml:space="preserve"> </w:t>
      </w:r>
      <w:r>
        <w:t xml:space="preserve">senior-finacle-flexcube</w:t>
      </w:r>
      <w:r>
        <w:br/>
      </w:r>
      <w:r>
        <w:rPr>
          <w:b/>
        </w:rPr>
        <w:t xml:space="preserve">sub_skill_id:</w:t>
      </w:r>
      <w:r>
        <w:t xml:space="preserve"> </w:t>
      </w:r>
      <w:r>
        <w:t xml:space="preserve">risk-compliance-sanctions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OFAC Sanctions Lists (SDN, Non-SDN); RBI Caution List (updated daily, available at RBI website); Finacle Sanctions Screening Module §2.1</w:t>
      </w:r>
    </w:p>
    <w:p>
      <w:pPr>
        <w:pStyle w:val="BodyText"/>
      </w:pPr>
      <w:r>
        <w:rPr>
          <w:b/>
        </w:rPr>
        <w:t xml:space="preserve">body:</w:t>
      </w:r>
    </w:p>
    <w:p>
      <w:pPr>
        <w:pStyle w:val="BodyText"/>
      </w:pPr>
      <w:r>
        <w:t xml:space="preserve">A Finacle sanctions screening system integrates with OFAC SDN (Specially Designated Nationals) list and RBI Caution List. A wire transfer is initiated by a customer named</w:t>
      </w:r>
      <w:r>
        <w:t xml:space="preserve"> </w:t>
      </w:r>
      <w:r>
        <w:t xml:space="preserve">“</w:t>
      </w:r>
      <w:r>
        <w:t xml:space="preserve">Rajesh Kumar</w:t>
      </w:r>
      <w:r>
        <w:t xml:space="preserve">”</w:t>
      </w:r>
      <w:r>
        <w:t xml:space="preserve"> </w:t>
      </w:r>
      <w:r>
        <w:t xml:space="preserve">to a beneficiary in Dubai. The sanctions screening engine returns a</w:t>
      </w:r>
      <w:r>
        <w:t xml:space="preserve"> </w:t>
      </w:r>
      <w:r>
        <w:t xml:space="preserve">“</w:t>
      </w:r>
      <w:r>
        <w:t xml:space="preserve">POTENTIAL MATCH</w:t>
      </w:r>
      <w:r>
        <w:t xml:space="preserve">”</w:t>
      </w:r>
      <w:r>
        <w:t xml:space="preserve"> </w:t>
      </w:r>
      <w:r>
        <w:t xml:space="preserve">against an OFAC SDN entry:</w:t>
      </w:r>
      <w:r>
        <w:t xml:space="preserve"> </w:t>
      </w:r>
      <w:r>
        <w:t xml:space="preserve">“</w:t>
      </w:r>
      <w:r>
        <w:t xml:space="preserve">Rajesh Khumar (variations: Rajesh Kumar, Rajesh Koomar)</w:t>
      </w:r>
      <w:r>
        <w:t xml:space="preserve">”</w:t>
      </w:r>
      <w:r>
        <w:t xml:space="preserve"> </w:t>
      </w:r>
      <w:r>
        <w:t xml:space="preserve">listed as a Pakistan-based money launderer. However, the customer’s full name in Finacle is</w:t>
      </w:r>
      <w:r>
        <w:t xml:space="preserve"> </w:t>
      </w:r>
      <w:r>
        <w:t xml:space="preserve">“</w:t>
      </w:r>
      <w:r>
        <w:t xml:space="preserve">Rajesh Kumar Deshmukh</w:t>
      </w:r>
      <w:r>
        <w:t xml:space="preserve">”</w:t>
      </w:r>
      <w:r>
        <w:t xml:space="preserve"> </w:t>
      </w:r>
      <w:r>
        <w:t xml:space="preserve">(with middle name), and the address is Mumbai, India. The compliance team is unsure whether to escalate to OFAC or proceed. Per regulatory best practices, what is the correct action?</w:t>
      </w:r>
    </w:p>
    <w:p>
      <w:pPr>
        <w:pStyle w:val="BodyText"/>
      </w:pPr>
      <w:r>
        <w:rPr>
          <w:b/>
        </w:rPr>
        <w:t xml:space="preserve">options:</w:t>
      </w:r>
    </w:p>
    <w:p>
      <w:pPr>
        <w:numPr>
          <w:ilvl w:val="1"/>
          <w:numId w:val="1052"/>
        </w:numPr>
        <w:pStyle w:val="Compact"/>
      </w:pPr>
      <w:r>
        <w:t xml:space="preserve">Proceed with the transaction; the full name</w:t>
      </w:r>
      <w:r>
        <w:t xml:space="preserve"> </w:t>
      </w:r>
      <w:r>
        <w:t xml:space="preserve">“</w:t>
      </w:r>
      <w:r>
        <w:t xml:space="preserve">Rajesh Kumar Deshmukh</w:t>
      </w:r>
      <w:r>
        <w:t xml:space="preserve">”</w:t>
      </w:r>
      <w:r>
        <w:t xml:space="preserve"> </w:t>
      </w:r>
      <w:r>
        <w:t xml:space="preserve">is sufficiently different from</w:t>
      </w:r>
      <w:r>
        <w:t xml:space="preserve"> </w:t>
      </w:r>
      <w:r>
        <w:t xml:space="preserve">“</w:t>
      </w:r>
      <w:r>
        <w:t xml:space="preserve">Rajesh Khumar</w:t>
      </w:r>
      <w:r>
        <w:t xml:space="preserve">”</w:t>
      </w:r>
    </w:p>
    <w:p>
      <w:pPr>
        <w:numPr>
          <w:ilvl w:val="1"/>
          <w:numId w:val="1053"/>
        </w:numPr>
        <w:pStyle w:val="Compact"/>
      </w:pPr>
      <w:r>
        <w:t xml:space="preserve">Block the transaction immediately and file a report with OFAC (no transaction is permitted with any OFAC match)</w:t>
      </w:r>
    </w:p>
    <w:p>
      <w:pPr>
        <w:numPr>
          <w:ilvl w:val="1"/>
          <w:numId w:val="1054"/>
        </w:numPr>
        <w:pStyle w:val="Compact"/>
      </w:pPr>
      <w:r>
        <w:t xml:space="preserve">Place a hold and conduct a full OFAC-compliant name-disambiguation review; compare all fields (full name, address, DOB, ID); escalate to OFAC only if the match score remains above the bank’s configured threshold after disambiguation</w:t>
      </w:r>
    </w:p>
    <w:p>
      <w:pPr>
        <w:numPr>
          <w:ilvl w:val="1"/>
          <w:numId w:val="1055"/>
        </w:numPr>
        <w:pStyle w:val="Compact"/>
      </w:pPr>
      <w:r>
        <w:t xml:space="preserve">File a Suspicious Transaction Report (STR) with FIU-IND as a precaution; allow the transaction to proceed pending FIU response</w:t>
      </w:r>
    </w:p>
    <w:p>
      <w:pPr>
        <w:pStyle w:val="FirstParagraph"/>
      </w:pPr>
      <w:r>
        <w:rPr>
          <w:b/>
        </w:rPr>
        <w:t xml:space="preserve">answer_key:</w:t>
      </w:r>
    </w:p>
    <w:p>
      <w:pPr>
        <w:pStyle w:val="BodyText"/>
      </w:pPr>
      <w:r>
        <w:t xml:space="preserve">C — OFAC and RBI require name-matching with disambiguation protocols, not automatic blocks for partial matches. The bank’s compliance team must conduct a full review comparing: (1) full name (Rajesh Kumar Deshmukh vs. Rajesh Khumar — the</w:t>
      </w:r>
      <w:r>
        <w:t xml:space="preserve"> </w:t>
      </w:r>
      <w:r>
        <w:t xml:space="preserve">“</w:t>
      </w:r>
      <w:r>
        <w:t xml:space="preserve">Deshmukh</w:t>
      </w:r>
      <w:r>
        <w:t xml:space="preserve">”</w:t>
      </w:r>
      <w:r>
        <w:t xml:space="preserve"> </w:t>
      </w:r>
      <w:r>
        <w:t xml:space="preserve">surname is not in OFAC record), (2) address (Mumbai vs. Pakistan — no match), (3) date of birth, (4) Government ID. If disambiguation confirms the match is below the bank’s configured threshold (e.g., &lt;85%), the transaction proceeds. If the match score is high (&gt;85%), escalation to OFAC (or retention of documentation) is warranted. Option B (automatic block) is overly conservative and not compliant with OFAC guidance on false positives. References: OFAC Best Practices for Name Matching; Finacle Sanctions Screening configuration; RBI circular on OFAC compliance.</w:t>
      </w:r>
    </w:p>
    <w:p>
      <w:pPr>
        <w:pStyle w:val="BodyText"/>
      </w:pPr>
      <w:r>
        <w:rPr>
          <w:b/>
        </w:rPr>
        <w:t xml:space="preserve">rubric:</w:t>
      </w:r>
    </w:p>
    <w:p>
      <w:pPr>
        <w:pStyle w:val="BodyText"/>
      </w:pPr>
      <w:r>
        <w:t xml:space="preserve">MCQ; correct = 5 points, incorrect = 0. Penalize if candidate selects A (proceed without review) or B (automatic block); both miss the disambiguation requirement.</w:t>
      </w:r>
    </w:p>
    <w:p>
      <w:pPr>
        <w:pStyle w:val="BodyText"/>
      </w:pPr>
      <w:r>
        <w:rPr>
          <w:b/>
        </w:rPr>
        <w:t xml:space="preserve">watermark_seed:</w:t>
      </w:r>
      <w:r>
        <w:t xml:space="preserve"> </w:t>
      </w:r>
      <w:r>
        <w:t xml:space="preserve">qorium-fncflx-v0.6-031-seed-8d2e1b4c</w:t>
      </w:r>
      <w:r>
        <w:br/>
      </w:r>
      <w:r>
        <w:rPr>
          <w:b/>
        </w:rPr>
        <w:t xml:space="preserve">variant_seed:</w:t>
      </w:r>
      <w:r>
        <w:t xml:space="preserve"> </w:t>
      </w:r>
      <w:r>
        <w:t xml:space="preserve">qorium-fncflx-v0.6-2026-05-03-031</w:t>
      </w:r>
      <w:r>
        <w:br/>
      </w:r>
      <w:r>
        <w:rPr>
          <w:b/>
        </w:rPr>
        <w:t xml:space="preserve">bias_check_notes:</w:t>
      </w:r>
      <w:r>
        <w:t xml:space="preserve"> </w:t>
      </w:r>
      <w:r>
        <w:t xml:space="preserve">Potential bias: exercise caution with common names (e.g.,</w:t>
      </w:r>
      <w:r>
        <w:t xml:space="preserve"> </w:t>
      </w:r>
      <w:r>
        <w:t xml:space="preserve">“</w:t>
      </w:r>
      <w:r>
        <w:t xml:space="preserve">Kumar</w:t>
      </w:r>
      <w:r>
        <w:t xml:space="preserve">”</w:t>
      </w:r>
      <w:r>
        <w:t xml:space="preserve"> </w:t>
      </w:r>
      <w:r>
        <w:t xml:space="preserve">in India). This question mitigates bias by including full name + address + DOB factors. Validate with compliance experts from India BFSI.</w:t>
      </w:r>
    </w:p>
    <w:p>
      <w:r>
        <w:pict>
          <v:rect style="width:0;height:1.5pt" o:hralign="center" o:hrstd="t" o:hr="t"/>
        </w:pict>
      </w:r>
    </w:p>
    <w:p>
      <w:pPr>
        <w:pStyle w:val="Heading3"/>
      </w:pPr>
      <w:bookmarkStart w:id="35" w:name="X4bd6c2aae7947afc5365d57f6189b8bcfd72162"/>
      <w:r>
        <w:t xml:space="preserve">QUESTION 32: FATCA Reporting — Foreign Accounts Tax Compliance Act (Hard MCQ)</w:t>
      </w:r>
      <w:bookmarkEnd w:id="35"/>
    </w:p>
    <w:p>
      <w:pPr>
        <w:pStyle w:val="FirstParagraph"/>
      </w:pPr>
      <w:r>
        <w:rPr>
          <w:b/>
        </w:rPr>
        <w:t xml:space="preserve">question_id:</w:t>
      </w:r>
      <w:r>
        <w:t xml:space="preserve"> </w:t>
      </w:r>
      <w:r>
        <w:t xml:space="preserve">QOR-FNCFLX-032</w:t>
      </w:r>
      <w:r>
        <w:br/>
      </w:r>
      <w:r>
        <w:rPr>
          <w:b/>
        </w:rPr>
        <w:t xml:space="preserve">skill_id:</w:t>
      </w:r>
      <w:r>
        <w:t xml:space="preserve"> </w:t>
      </w:r>
      <w:r>
        <w:t xml:space="preserve">senior-finacle-flexcube</w:t>
      </w:r>
      <w:r>
        <w:br/>
      </w:r>
      <w:r>
        <w:rPr>
          <w:b/>
        </w:rPr>
        <w:t xml:space="preserve">sub_skill_id:</w:t>
      </w:r>
      <w:r>
        <w:t xml:space="preserve"> </w:t>
      </w:r>
      <w:r>
        <w:t xml:space="preserve">risk-compliance-fatca-crs</w:t>
      </w:r>
      <w:r>
        <w:br/>
      </w:r>
      <w:r>
        <w:rPr>
          <w:b/>
        </w:rPr>
        <w:t xml:space="preserve">format:</w:t>
      </w:r>
      <w:r>
        <w:t xml:space="preserve"> </w:t>
      </w:r>
      <w:r>
        <w:t xml:space="preserve">MCQ</w:t>
      </w:r>
      <w:r>
        <w:br/>
      </w:r>
      <w:r>
        <w:rPr>
          <w:b/>
        </w:rPr>
        <w:t xml:space="preserve">difficulty_b:</w:t>
      </w:r>
      <w:r>
        <w:t xml:space="preserve"> </w:t>
      </w:r>
      <w:r>
        <w:t xml:space="preserve">0.7 (Hard)</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FATCA (Foreign Account Tax Compliance Act, 26 U.S.C. § 1471); IRS Form 8938; Finacle FATCA Compliance Module §6.1</w:t>
      </w:r>
    </w:p>
    <w:p>
      <w:pPr>
        <w:pStyle w:val="BodyText"/>
      </w:pPr>
      <w:r>
        <w:rPr>
          <w:b/>
        </w:rPr>
        <w:t xml:space="preserve">body:</w:t>
      </w:r>
    </w:p>
    <w:p>
      <w:pPr>
        <w:pStyle w:val="BodyText"/>
      </w:pPr>
      <w:r>
        <w:t xml:space="preserve">A Finacle-integrated Indian bank maintains accounts for US-resident customers (US Persons). The bank’s Finacle system identifies a US customer with an aggregate account balance of USD 500,000 across multiple accounts (savings, fixed deposit, forex derivatives). Per FATCA mandate, the bank must file</w:t>
      </w:r>
      <w:r>
        <w:t xml:space="preserve"> </w:t>
      </w:r>
      <w:r>
        <w:rPr>
          <w:b/>
        </w:rPr>
        <w:t xml:space="preserve">Form 8938</w:t>
      </w:r>
      <w:r>
        <w:t xml:space="preserve"> </w:t>
      </w:r>
      <w:r>
        <w:t xml:space="preserve">with the IRS. However, the customer has explicitly instructed the bank NOT to report their account to the US government, citing privacy concerns. The bank’s compliance officer is unsure how to proceed. Per FATCA rules, can the bank honor the customer’s privacy request and withhold the reporting?</w:t>
      </w:r>
    </w:p>
    <w:p>
      <w:pPr>
        <w:pStyle w:val="BodyText"/>
      </w:pPr>
      <w:r>
        <w:rPr>
          <w:b/>
        </w:rPr>
        <w:t xml:space="preserve">options:</w:t>
      </w:r>
    </w:p>
    <w:p>
      <w:pPr>
        <w:numPr>
          <w:ilvl w:val="1"/>
          <w:numId w:val="1057"/>
        </w:numPr>
        <w:pStyle w:val="Compact"/>
      </w:pPr>
      <w:r>
        <w:t xml:space="preserve">Yes, the bank can honor the customer’s privacy request; FATCA does not override customer confidentiality agreements</w:t>
      </w:r>
    </w:p>
    <w:p>
      <w:pPr>
        <w:numPr>
          <w:ilvl w:val="1"/>
          <w:numId w:val="1058"/>
        </w:numPr>
        <w:pStyle w:val="Compact"/>
      </w:pPr>
      <w:r>
        <w:t xml:space="preserve">No, FATCA is a statutory reporting mandate; the bank must report Form 8938 regardless of customer objection</w:t>
      </w:r>
    </w:p>
    <w:p>
      <w:pPr>
        <w:numPr>
          <w:ilvl w:val="1"/>
          <w:numId w:val="1059"/>
        </w:numPr>
        <w:pStyle w:val="Compact"/>
      </w:pPr>
      <w:r>
        <w:t xml:space="preserve">No, the bank must report, but the bank can file under a</w:t>
      </w:r>
      <w:r>
        <w:t xml:space="preserve"> </w:t>
      </w:r>
      <w:r>
        <w:t xml:space="preserve">“</w:t>
      </w:r>
      <w:r>
        <w:t xml:space="preserve">Confidential</w:t>
      </w:r>
      <w:r>
        <w:t xml:space="preserve">”</w:t>
      </w:r>
      <w:r>
        <w:t xml:space="preserve"> </w:t>
      </w:r>
      <w:r>
        <w:t xml:space="preserve">classification that masks the customer’s identity to the IRS</w:t>
      </w:r>
    </w:p>
    <w:p>
      <w:pPr>
        <w:numPr>
          <w:ilvl w:val="1"/>
          <w:numId w:val="1060"/>
        </w:numPr>
        <w:pStyle w:val="Compact"/>
      </w:pPr>
      <w:r>
        <w:t xml:space="preserve">The bank is exempt from FATCA reporting if the customer is a resident of a treaty country (e.g., India-US tax treaty); no Form 8938 is required</w:t>
      </w:r>
    </w:p>
    <w:p>
      <w:pPr>
        <w:pStyle w:val="FirstParagraph"/>
      </w:pPr>
      <w:r>
        <w:rPr>
          <w:b/>
        </w:rPr>
        <w:t xml:space="preserve">answer_key:</w:t>
      </w:r>
    </w:p>
    <w:p>
      <w:pPr>
        <w:pStyle w:val="BodyText"/>
      </w:pPr>
      <w:r>
        <w:t xml:space="preserve">B — FATCA (Foreign Account Tax Compliance Act) is a US statutory mandate that overrides bank-customer confidentiality in the context of reporting foreign financial accounts held by US Persons. Indian banks operating under FATCA’s</w:t>
      </w:r>
      <w:r>
        <w:t xml:space="preserve"> </w:t>
      </w:r>
      <w:r>
        <w:t xml:space="preserve">“</w:t>
      </w:r>
      <w:r>
        <w:t xml:space="preserve">FFI</w:t>
      </w:r>
      <w:r>
        <w:t xml:space="preserve">”</w:t>
      </w:r>
      <w:r>
        <w:t xml:space="preserve"> </w:t>
      </w:r>
      <w:r>
        <w:t xml:space="preserve">(Foreign Financial Institution) classification must file Form 8938 for all US customers with aggregate account balances exceeding USD 300,000 (threshold varies by circumstances). Customer privacy objections do NOT override FATCA reporting. Option C (confidential classification) is not a valid FATCA mechanism. Option D (treaty exemption) is incorrect; the India-US tax treaty does not exempt FATCA reporting. References: FATCA §1471-1474 (U.S. Internal Revenue Code); IRS Instructions for Form 8938; RBI circular on FATCA compliance in India.</w:t>
      </w:r>
    </w:p>
    <w:p>
      <w:pPr>
        <w:pStyle w:val="BodyText"/>
      </w:pPr>
      <w:r>
        <w:rPr>
          <w:b/>
        </w:rPr>
        <w:t xml:space="preserve">rubric:</w:t>
      </w:r>
    </w:p>
    <w:p>
      <w:pPr>
        <w:pStyle w:val="BodyText"/>
      </w:pPr>
      <w:r>
        <w:t xml:space="preserve">Hard MCQ; correct = 7 points, incorrect = 0. Partial credit (3 pts) if candidate correctly identifies FATCA as a statutory mandate but confuses the reporting mechanism (Form 8938 vs. FBAR).</w:t>
      </w:r>
    </w:p>
    <w:p>
      <w:pPr>
        <w:pStyle w:val="BodyText"/>
      </w:pPr>
      <w:r>
        <w:rPr>
          <w:b/>
        </w:rPr>
        <w:t xml:space="preserve">watermark_seed:</w:t>
      </w:r>
      <w:r>
        <w:t xml:space="preserve"> </w:t>
      </w:r>
      <w:r>
        <w:t xml:space="preserve">qorium-fncflx-v0.6-032-seed-6c3d9e5b</w:t>
      </w:r>
      <w:r>
        <w:br/>
      </w:r>
      <w:r>
        <w:rPr>
          <w:b/>
        </w:rPr>
        <w:t xml:space="preserve">variant_seed:</w:t>
      </w:r>
      <w:r>
        <w:t xml:space="preserve"> </w:t>
      </w:r>
      <w:r>
        <w:t xml:space="preserve">qorium-fncflx-v0.6-2026-05-03-032</w:t>
      </w:r>
      <w:r>
        <w:br/>
      </w:r>
      <w:r>
        <w:rPr>
          <w:b/>
        </w:rPr>
        <w:t xml:space="preserve">bias_check_notes:</w:t>
      </w:r>
      <w:r>
        <w:t xml:space="preserve"> </w:t>
      </w:r>
      <w:r>
        <w:t xml:space="preserve">No bias. FATCA is universal regulatory requirement for Indian banks serving US customers.</w:t>
      </w:r>
    </w:p>
    <w:p>
      <w:r>
        <w:pict>
          <v:rect style="width:0;height:1.5pt" o:hralign="center" o:hrstd="t" o:hr="t"/>
        </w:pict>
      </w:r>
    </w:p>
    <w:p>
      <w:pPr>
        <w:pStyle w:val="Heading3"/>
      </w:pPr>
      <w:bookmarkStart w:id="36" w:name="Xbba6b905f4071798c11835f54967d1782b66157"/>
      <w:r>
        <w:t xml:space="preserve">QUESTION 33: CRS (Common Reporting Standard) — AEOI (Automatic Exchange of Information) in India (Hard MCQ)</w:t>
      </w:r>
      <w:bookmarkEnd w:id="36"/>
    </w:p>
    <w:p>
      <w:pPr>
        <w:pStyle w:val="FirstParagraph"/>
      </w:pPr>
      <w:r>
        <w:rPr>
          <w:b/>
        </w:rPr>
        <w:t xml:space="preserve">question_id:</w:t>
      </w:r>
      <w:r>
        <w:t xml:space="preserve"> </w:t>
      </w:r>
      <w:r>
        <w:t xml:space="preserve">QOR-FNCFLX-033</w:t>
      </w:r>
      <w:r>
        <w:br/>
      </w:r>
      <w:r>
        <w:rPr>
          <w:b/>
        </w:rPr>
        <w:t xml:space="preserve">skill_id:</w:t>
      </w:r>
      <w:r>
        <w:t xml:space="preserve"> </w:t>
      </w:r>
      <w:r>
        <w:t xml:space="preserve">senior-finacle-flexcube</w:t>
      </w:r>
      <w:r>
        <w:br/>
      </w:r>
      <w:r>
        <w:rPr>
          <w:b/>
        </w:rPr>
        <w:t xml:space="preserve">sub_skill_id:</w:t>
      </w:r>
      <w:r>
        <w:t xml:space="preserve"> </w:t>
      </w:r>
      <w:r>
        <w:t xml:space="preserve">risk-compliance-crs</w:t>
      </w:r>
      <w:r>
        <w:br/>
      </w:r>
      <w:r>
        <w:rPr>
          <w:b/>
        </w:rPr>
        <w:t xml:space="preserve">format:</w:t>
      </w:r>
      <w:r>
        <w:t xml:space="preserve"> </w:t>
      </w:r>
      <w:r>
        <w:t xml:space="preserve">MCQ</w:t>
      </w:r>
      <w:r>
        <w:br/>
      </w:r>
      <w:r>
        <w:rPr>
          <w:b/>
        </w:rPr>
        <w:t xml:space="preserve">difficulty_b:</w:t>
      </w:r>
      <w:r>
        <w:t xml:space="preserve"> </w:t>
      </w:r>
      <w:r>
        <w:t xml:space="preserve">0.75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CRS (Common Reporting Standard, OECD 2014); CBDT Master Circular on CRS (India, annual update); RBI Circular DBR.AML.BC.54/07.27.06/2023-24</w:t>
      </w:r>
    </w:p>
    <w:p>
      <w:pPr>
        <w:pStyle w:val="BodyText"/>
      </w:pPr>
      <w:r>
        <w:rPr>
          <w:b/>
        </w:rPr>
        <w:t xml:space="preserve">body:</w:t>
      </w:r>
    </w:p>
    <w:p>
      <w:pPr>
        <w:pStyle w:val="BodyText"/>
      </w:pPr>
      <w:r>
        <w:t xml:space="preserve">A Finacle bank in India (Financial Institution under CRS) identifies a customer as a</w:t>
      </w:r>
      <w:r>
        <w:t xml:space="preserve"> </w:t>
      </w:r>
      <w:r>
        <w:t xml:space="preserve">“</w:t>
      </w:r>
      <w:r>
        <w:t xml:space="preserve">Financial Account Holder</w:t>
      </w:r>
      <w:r>
        <w:t xml:space="preserve">”</w:t>
      </w:r>
      <w:r>
        <w:t xml:space="preserve"> </w:t>
      </w:r>
      <w:r>
        <w:t xml:space="preserve">who is a tax resident of Switzerland (per self-certification + substantive residence evidence). The account balance is ₹50 Lakhs. Per CRS (Common Reporting Standard) and AEOI (Automatic Exchange of Information) mandate, the Indian bank must report this customer’s account to the Indian Tax Authority (CBDT), which will then forward the data to Switzerland’s tax authority. However, the customer claims that their account includes</w:t>
      </w:r>
      <w:r>
        <w:t xml:space="preserve"> </w:t>
      </w:r>
      <w:r>
        <w:t xml:space="preserve">“</w:t>
      </w:r>
      <w:r>
        <w:t xml:space="preserve">safe harbor</w:t>
      </w:r>
      <w:r>
        <w:t xml:space="preserve">”</w:t>
      </w:r>
      <w:r>
        <w:t xml:space="preserve"> </w:t>
      </w:r>
      <w:r>
        <w:t xml:space="preserve">funds (inheritance from a deceased relative, with full tax paid in India). Can the bank exclude this account from CRS reporting based on the safe-harbor claim?</w:t>
      </w:r>
    </w:p>
    <w:p>
      <w:pPr>
        <w:pStyle w:val="BodyText"/>
      </w:pPr>
      <w:r>
        <w:rPr>
          <w:b/>
        </w:rPr>
        <w:t xml:space="preserve">options:</w:t>
      </w:r>
    </w:p>
    <w:p>
      <w:pPr>
        <w:numPr>
          <w:ilvl w:val="1"/>
          <w:numId w:val="1062"/>
        </w:numPr>
        <w:pStyle w:val="Compact"/>
      </w:pPr>
      <w:r>
        <w:t xml:space="preserve">Yes, CRS has explicit safe-harbor provisions for inherited accounts; no reporting is required for inheritance proceeds</w:t>
      </w:r>
    </w:p>
    <w:p>
      <w:pPr>
        <w:numPr>
          <w:ilvl w:val="1"/>
          <w:numId w:val="1063"/>
        </w:numPr>
        <w:pStyle w:val="Compact"/>
      </w:pPr>
      <w:r>
        <w:t xml:space="preserve">No, CRS reporting is mandatory regardless of the source of funds; safe-harbor exceptions do not override the residence-based reporting requirement</w:t>
      </w:r>
    </w:p>
    <w:p>
      <w:pPr>
        <w:numPr>
          <w:ilvl w:val="1"/>
          <w:numId w:val="1064"/>
        </w:numPr>
        <w:pStyle w:val="Compact"/>
      </w:pPr>
      <w:r>
        <w:t xml:space="preserve">No, but the bank can mark the account as</w:t>
      </w:r>
      <w:r>
        <w:t xml:space="preserve"> </w:t>
      </w:r>
      <w:r>
        <w:t xml:space="preserve">“</w:t>
      </w:r>
      <w:r>
        <w:t xml:space="preserve">disputed</w:t>
      </w:r>
      <w:r>
        <w:t xml:space="preserve">”</w:t>
      </w:r>
      <w:r>
        <w:t xml:space="preserve"> </w:t>
      </w:r>
      <w:r>
        <w:t xml:space="preserve">in the CRS report and provide a supplementary note with the customer’s tax claim</w:t>
      </w:r>
    </w:p>
    <w:p>
      <w:pPr>
        <w:numPr>
          <w:ilvl w:val="1"/>
          <w:numId w:val="1065"/>
        </w:numPr>
        <w:pStyle w:val="Compact"/>
      </w:pPr>
      <w:r>
        <w:t xml:space="preserve">Yes, if the customer provides a prior-year Indian tax return showing the inheritance was reported and taxed in India, the account is exempt from ongoing CRS reporting</w:t>
      </w:r>
    </w:p>
    <w:p>
      <w:pPr>
        <w:pStyle w:val="FirstParagraph"/>
      </w:pPr>
      <w:r>
        <w:rPr>
          <w:b/>
        </w:rPr>
        <w:t xml:space="preserve">answer_key:</w:t>
      </w:r>
    </w:p>
    <w:p>
      <w:pPr>
        <w:pStyle w:val="BodyText"/>
      </w:pPr>
      <w:r>
        <w:t xml:space="preserve">B — CRS (Common Reporting Standard) requires reporting of all Financial Accounts held by Non-Resident tax entities (e.g., Swiss residents). There are NO safe-harbor exceptions for specific sources of funds (inheritance, gifts, etc.) within CRS. The reporting is triggered by residency, not by account composition. Option A (safe-harbor exception) is incorrect. Option C (disputed marking) is not a CRS mechanism. Option D (prior-year tax return exemption) is incorrect; once a customer is identified as non-resident, ongoing CRS reporting applies to ALL accounts they hold. References: CRS Standard (OECD, Section I.A — Reportable Accounts); CBDT Master Circular on CRS Implementation in India (annual update, current to 2026).</w:t>
      </w:r>
    </w:p>
    <w:p>
      <w:pPr>
        <w:pStyle w:val="BodyText"/>
      </w:pPr>
      <w:r>
        <w:rPr>
          <w:b/>
        </w:rPr>
        <w:t xml:space="preserve">rubric:</w:t>
      </w:r>
    </w:p>
    <w:p>
      <w:pPr>
        <w:pStyle w:val="BodyText"/>
      </w:pPr>
      <w:r>
        <w:t xml:space="preserve">Hard MCQ; correct = 7 points, incorrect = 0. Partial credit (3 pts) if candidate understands CRS is residence-based but confuses the safe-harbor mechanism.</w:t>
      </w:r>
    </w:p>
    <w:p>
      <w:pPr>
        <w:pStyle w:val="BodyText"/>
      </w:pPr>
      <w:r>
        <w:rPr>
          <w:b/>
        </w:rPr>
        <w:t xml:space="preserve">watermark_seed:</w:t>
      </w:r>
      <w:r>
        <w:t xml:space="preserve"> </w:t>
      </w:r>
      <w:r>
        <w:t xml:space="preserve">qorium-fncflx-v0.6-033-seed-9f7a2c1d</w:t>
      </w:r>
      <w:r>
        <w:br/>
      </w:r>
      <w:r>
        <w:rPr>
          <w:b/>
        </w:rPr>
        <w:t xml:space="preserve">variant_seed:</w:t>
      </w:r>
      <w:r>
        <w:t xml:space="preserve"> </w:t>
      </w:r>
      <w:r>
        <w:t xml:space="preserve">qorium-fncflx-v0.6-2026-05-03-033</w:t>
      </w:r>
      <w:r>
        <w:br/>
      </w:r>
      <w:r>
        <w:rPr>
          <w:b/>
        </w:rPr>
        <w:t xml:space="preserve">bias_check_notes:</w:t>
      </w:r>
      <w:r>
        <w:t xml:space="preserve"> </w:t>
      </w:r>
      <w:r>
        <w:t xml:space="preserve">No bias. CRS is international standard applicable to Indian banks serving foreign residents.</w:t>
      </w:r>
    </w:p>
    <w:p>
      <w:r>
        <w:pict>
          <v:rect style="width:0;height:1.5pt" o:hralign="center" o:hrstd="t" o:hr="t"/>
        </w:pict>
      </w:r>
    </w:p>
    <w:p>
      <w:pPr>
        <w:pStyle w:val="Heading2"/>
      </w:pPr>
      <w:bookmarkStart w:id="37" w:name="Xf75056a0df287386b2ffc5654ecddcb89dc421a"/>
      <w:r>
        <w:t xml:space="preserve">SECTION 4: AML + SUSPICIOUS TRANSACTION (3 questions)</w:t>
      </w:r>
      <w:bookmarkEnd w:id="37"/>
    </w:p>
    <w:p>
      <w:r>
        <w:pict>
          <v:rect style="width:0;height:1.5pt" o:hralign="center" o:hrstd="t" o:hr="t"/>
        </w:pict>
      </w:r>
    </w:p>
    <w:p>
      <w:pPr>
        <w:pStyle w:val="Heading3"/>
      </w:pPr>
      <w:bookmarkStart w:id="38" w:name="X7e665ec7967597704db8446893e6213f89867f3"/>
      <w:r>
        <w:t xml:space="preserve">QUESTION 34: STR (Suspicious Transaction Report) Workflow — FIU-IND Reporting (Medium MCQ)</w:t>
      </w:r>
      <w:bookmarkEnd w:id="38"/>
    </w:p>
    <w:p>
      <w:pPr>
        <w:pStyle w:val="FirstParagraph"/>
      </w:pPr>
      <w:r>
        <w:rPr>
          <w:b/>
        </w:rPr>
        <w:t xml:space="preserve">question_id:</w:t>
      </w:r>
      <w:r>
        <w:t xml:space="preserve"> </w:t>
      </w:r>
      <w:r>
        <w:t xml:space="preserve">QOR-FNCFLX-034</w:t>
      </w:r>
      <w:r>
        <w:br/>
      </w:r>
      <w:r>
        <w:rPr>
          <w:b/>
        </w:rPr>
        <w:t xml:space="preserve">skill_id:</w:t>
      </w:r>
      <w:r>
        <w:t xml:space="preserve"> </w:t>
      </w:r>
      <w:r>
        <w:t xml:space="preserve">senior-finacle-flexcube</w:t>
      </w:r>
      <w:r>
        <w:br/>
      </w:r>
      <w:r>
        <w:rPr>
          <w:b/>
        </w:rPr>
        <w:t xml:space="preserve">sub_skill_id:</w:t>
      </w:r>
      <w:r>
        <w:t xml:space="preserve"> </w:t>
      </w:r>
      <w:r>
        <w:t xml:space="preserve">aml-str-workflow</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FIU-IND (Financial Intelligence Unit — India) STR Reporting Guidelines (PMLA Act 2002, as amended); RBI Master Circular on AML (2015, as amended 2025)</w:t>
      </w:r>
    </w:p>
    <w:p>
      <w:pPr>
        <w:pStyle w:val="BodyText"/>
      </w:pPr>
      <w:r>
        <w:rPr>
          <w:b/>
        </w:rPr>
        <w:t xml:space="preserve">body:</w:t>
      </w:r>
    </w:p>
    <w:p>
      <w:pPr>
        <w:pStyle w:val="BodyText"/>
      </w:pPr>
      <w:r>
        <w:t xml:space="preserve">A Finacle AML team identifies a suspicious transaction pattern: A customer has made 12 inbound remittances from different SWIFT accounts (all from the same source country, Malaysia) totaling ₹2 Cr over 6 months. The remittances lack clear business purpose documentation, and the customer claims they are</w:t>
      </w:r>
      <w:r>
        <w:t xml:space="preserve"> </w:t>
      </w:r>
      <w:r>
        <w:t xml:space="preserve">“</w:t>
      </w:r>
      <w:r>
        <w:t xml:space="preserve">personal family loans.</w:t>
      </w:r>
      <w:r>
        <w:t xml:space="preserve">”</w:t>
      </w:r>
      <w:r>
        <w:t xml:space="preserve"> </w:t>
      </w:r>
      <w:r>
        <w:t xml:space="preserve">The AML system’s risk score for this customer is 8.5 out of 10 (very high). The bank’s Finacle system auto-flags this for STR (Suspicious Transaction Report). Per FIU-IND mandate, when must the bank file an STR?</w:t>
      </w:r>
    </w:p>
    <w:p>
      <w:pPr>
        <w:pStyle w:val="BodyText"/>
      </w:pPr>
      <w:r>
        <w:rPr>
          <w:b/>
        </w:rPr>
        <w:t xml:space="preserve">options:</w:t>
      </w:r>
    </w:p>
    <w:p>
      <w:pPr>
        <w:numPr>
          <w:ilvl w:val="1"/>
          <w:numId w:val="1067"/>
        </w:numPr>
        <w:pStyle w:val="Compact"/>
      </w:pPr>
      <w:r>
        <w:t xml:space="preserve">Immediately upon the first suspicious transaction; each transaction should trigger a separate STR</w:t>
      </w:r>
    </w:p>
    <w:p>
      <w:pPr>
        <w:numPr>
          <w:ilvl w:val="1"/>
          <w:numId w:val="1068"/>
        </w:numPr>
        <w:pStyle w:val="Compact"/>
      </w:pPr>
      <w:r>
        <w:t xml:space="preserve">Only after concluding the investigation; the STR is filed along with the bank’s final AML investigation report</w:t>
      </w:r>
    </w:p>
    <w:p>
      <w:pPr>
        <w:numPr>
          <w:ilvl w:val="1"/>
          <w:numId w:val="1069"/>
        </w:numPr>
        <w:pStyle w:val="Compact"/>
      </w:pPr>
      <w:r>
        <w:t xml:space="preserve">Within 7 days from the date of detecting the suspicious activity; the bank may consolidate multiple transactions into a single STR if they form a pattern</w:t>
      </w:r>
    </w:p>
    <w:p>
      <w:pPr>
        <w:numPr>
          <w:ilvl w:val="1"/>
          <w:numId w:val="1070"/>
        </w:numPr>
        <w:pStyle w:val="Compact"/>
      </w:pPr>
      <w:r>
        <w:t xml:space="preserve">Within 30 days from the reporting quarter end; STRs are filed in bulk quarterly, not individually</w:t>
      </w:r>
    </w:p>
    <w:p>
      <w:pPr>
        <w:pStyle w:val="FirstParagraph"/>
      </w:pPr>
      <w:r>
        <w:rPr>
          <w:b/>
        </w:rPr>
        <w:t xml:space="preserve">answer_key:</w:t>
      </w:r>
    </w:p>
    <w:p>
      <w:pPr>
        <w:pStyle w:val="BodyText"/>
      </w:pPr>
      <w:r>
        <w:t xml:space="preserve">C — Per FIU-IND guidelines (PMLA Act 2002 §12), STRs must be filed</w:t>
      </w:r>
      <w:r>
        <w:t xml:space="preserve"> </w:t>
      </w:r>
      <w:r>
        <w:t xml:space="preserve">“</w:t>
      </w:r>
      <w:r>
        <w:t xml:space="preserve">on suspicion</w:t>
      </w:r>
      <w:r>
        <w:t xml:space="preserve">”</w:t>
      </w:r>
      <w:r>
        <w:t xml:space="preserve"> </w:t>
      </w:r>
      <w:r>
        <w:t xml:space="preserve">and</w:t>
      </w:r>
      <w:r>
        <w:t xml:space="preserve"> </w:t>
      </w:r>
      <w:r>
        <w:t xml:space="preserve">“</w:t>
      </w:r>
      <w:r>
        <w:t xml:space="preserve">without unreasonable delay.</w:t>
      </w:r>
      <w:r>
        <w:t xml:space="preserve">”</w:t>
      </w:r>
      <w:r>
        <w:t xml:space="preserve"> </w:t>
      </w:r>
      <w:r>
        <w:t xml:space="preserve">The bank is not required to wait for investigation completion (option B), nor must it file individual STRs for each transaction (option A). Filing must occur within 7 days of detecting the suspicious activity or pattern. The bank may consolidate multiple related transactions into a single STR with a narrative description (option C is correct). Quarterly bulk filing (option D) is outdated; FIU-IND now requires timely individual STRs. References: FIU-IND STR Reporting Guidelines; RBI Master Circular on AML; PMLA Act 2002, Section 12.</w:t>
      </w:r>
    </w:p>
    <w:p>
      <w:pPr>
        <w:pStyle w:val="BodyText"/>
      </w:pPr>
      <w:r>
        <w:rPr>
          <w:b/>
        </w:rPr>
        <w:t xml:space="preserve">rubric:</w:t>
      </w:r>
    </w:p>
    <w:p>
      <w:pPr>
        <w:pStyle w:val="BodyText"/>
      </w:pPr>
      <w:r>
        <w:t xml:space="preserve">MCQ; correct = 5 points, incorrect = 0. Partial credit (2 pts) if candidate selects B with reasonable justification that investigation should precede STR (a common misinterpretation).</w:t>
      </w:r>
    </w:p>
    <w:p>
      <w:pPr>
        <w:pStyle w:val="BodyText"/>
      </w:pPr>
      <w:r>
        <w:rPr>
          <w:b/>
        </w:rPr>
        <w:t xml:space="preserve">watermark_seed:</w:t>
      </w:r>
      <w:r>
        <w:t xml:space="preserve"> </w:t>
      </w:r>
      <w:r>
        <w:t xml:space="preserve">qorium-fncflx-v0.6-034-seed-4b2d5f9a</w:t>
      </w:r>
      <w:r>
        <w:br/>
      </w:r>
      <w:r>
        <w:rPr>
          <w:b/>
        </w:rPr>
        <w:t xml:space="preserve">variant_seed:</w:t>
      </w:r>
      <w:r>
        <w:t xml:space="preserve"> </w:t>
      </w:r>
      <w:r>
        <w:t xml:space="preserve">qorium-fncflx-v0.6-2026-05-03-034</w:t>
      </w:r>
      <w:r>
        <w:br/>
      </w:r>
      <w:r>
        <w:rPr>
          <w:b/>
        </w:rPr>
        <w:t xml:space="preserve">bias_check_notes:</w:t>
      </w:r>
      <w:r>
        <w:t xml:space="preserve"> </w:t>
      </w:r>
      <w:r>
        <w:t xml:space="preserve">No bias. FIU-IND STR reporting is statutory requirement; universally applicable in India.</w:t>
      </w:r>
    </w:p>
    <w:p>
      <w:r>
        <w:pict>
          <v:rect style="width:0;height:1.5pt" o:hralign="center" o:hrstd="t" o:hr="t"/>
        </w:pict>
      </w:r>
    </w:p>
    <w:p>
      <w:pPr>
        <w:pStyle w:val="Heading3"/>
      </w:pPr>
      <w:bookmarkStart w:id="39" w:name="X381f5c4a28a80d5afb6718c81d644e2662a3afc"/>
      <w:r>
        <w:t xml:space="preserve">QUESTION 35: CTR (Cash Transaction Report) — RBI Currency Transaction Reporting (Medium MCQ)</w:t>
      </w:r>
      <w:bookmarkEnd w:id="39"/>
    </w:p>
    <w:p>
      <w:pPr>
        <w:pStyle w:val="FirstParagraph"/>
      </w:pPr>
      <w:r>
        <w:rPr>
          <w:b/>
        </w:rPr>
        <w:t xml:space="preserve">question_id:</w:t>
      </w:r>
      <w:r>
        <w:t xml:space="preserve"> </w:t>
      </w:r>
      <w:r>
        <w:t xml:space="preserve">QOR-FNCFLX-035</w:t>
      </w:r>
      <w:r>
        <w:br/>
      </w:r>
      <w:r>
        <w:rPr>
          <w:b/>
        </w:rPr>
        <w:t xml:space="preserve">skill_id:</w:t>
      </w:r>
      <w:r>
        <w:t xml:space="preserve"> </w:t>
      </w:r>
      <w:r>
        <w:t xml:space="preserve">senior-finacle-flexcube</w:t>
      </w:r>
      <w:r>
        <w:br/>
      </w:r>
      <w:r>
        <w:rPr>
          <w:b/>
        </w:rPr>
        <w:t xml:space="preserve">sub_skill_id:</w:t>
      </w:r>
      <w:r>
        <w:t xml:space="preserve"> </w:t>
      </w:r>
      <w:r>
        <w:t xml:space="preserve">aml-ctr-reporting</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RBI Guidelines on Cash Transaction Reporting (DBOD.ML.BC.No.1/14.01.006/2005-06); PMLA Rules 2009</w:t>
      </w:r>
    </w:p>
    <w:p>
      <w:pPr>
        <w:pStyle w:val="BodyText"/>
      </w:pPr>
      <w:r>
        <w:rPr>
          <w:b/>
        </w:rPr>
        <w:t xml:space="preserve">body:</w:t>
      </w:r>
    </w:p>
    <w:p>
      <w:pPr>
        <w:pStyle w:val="BodyText"/>
      </w:pPr>
      <w:r>
        <w:t xml:space="preserve">A Finacle-integrated bank’s teller system records a walk-in customer making a cash deposit of ₹11 Lakhs at the branch counter. The customer provides a PAN card for identification. The deposit is flagged by the AML system as exceeding the CTR (Cash Transaction Report) threshold. Per RBI mandate, the bank is required to file a CTR for this transaction. However, the customer later claims they made an error and request the bank to NOT file the CTR, offering to split the deposit into multiple smaller transactions (₹2 Lakhs each on different days) to avoid triggering CTR. Can the bank honor this request?</w:t>
      </w:r>
    </w:p>
    <w:p>
      <w:pPr>
        <w:pStyle w:val="BodyText"/>
      </w:pPr>
      <w:r>
        <w:rPr>
          <w:b/>
        </w:rPr>
        <w:t xml:space="preserve">options:</w:t>
      </w:r>
    </w:p>
    <w:p>
      <w:pPr>
        <w:numPr>
          <w:ilvl w:val="1"/>
          <w:numId w:val="1072"/>
        </w:numPr>
        <w:pStyle w:val="Compact"/>
      </w:pPr>
      <w:r>
        <w:t xml:space="preserve">Yes, the bank can allow the split deposits; CTR is triggered only when a single transaction exceeds ₹10 Lakhs in one day</w:t>
      </w:r>
    </w:p>
    <w:p>
      <w:pPr>
        <w:numPr>
          <w:ilvl w:val="1"/>
          <w:numId w:val="1073"/>
        </w:numPr>
        <w:pStyle w:val="Compact"/>
      </w:pPr>
      <w:r>
        <w:t xml:space="preserve">No, CTR filing is mandatory per RBI rules; the bank cannot honor the customer’s request to avoid CTR</w:t>
      </w:r>
    </w:p>
    <w:p>
      <w:pPr>
        <w:numPr>
          <w:ilvl w:val="1"/>
          <w:numId w:val="1074"/>
        </w:numPr>
        <w:pStyle w:val="Compact"/>
      </w:pPr>
      <w:r>
        <w:t xml:space="preserve">No, and the bank must also report the customer’s intent to</w:t>
      </w:r>
      <w:r>
        <w:t xml:space="preserve"> </w:t>
      </w:r>
      <w:r>
        <w:t xml:space="preserve">“</w:t>
      </w:r>
      <w:r>
        <w:t xml:space="preserve">structure</w:t>
      </w:r>
      <w:r>
        <w:t xml:space="preserve">”</w:t>
      </w:r>
      <w:r>
        <w:t xml:space="preserve"> </w:t>
      </w:r>
      <w:r>
        <w:t xml:space="preserve">the deposit (split deposits to evade CTR) as a Suspicious Transaction Report (STR)</w:t>
      </w:r>
    </w:p>
    <w:p>
      <w:pPr>
        <w:numPr>
          <w:ilvl w:val="1"/>
          <w:numId w:val="1075"/>
        </w:numPr>
        <w:pStyle w:val="Compact"/>
      </w:pPr>
      <w:r>
        <w:t xml:space="preserve">Yes, but only if the customer provides a reasonable business explanation for the split deposits (e.g., cashflow constraints)</w:t>
      </w:r>
    </w:p>
    <w:p>
      <w:pPr>
        <w:pStyle w:val="FirstParagraph"/>
      </w:pPr>
      <w:r>
        <w:rPr>
          <w:b/>
        </w:rPr>
        <w:t xml:space="preserve">answer_key:</w:t>
      </w:r>
    </w:p>
    <w:p>
      <w:pPr>
        <w:pStyle w:val="BodyText"/>
      </w:pPr>
      <w:r>
        <w:t xml:space="preserve">C — Per RBI CTR Guidelines and PMLA rules, CTR is mandatory for cash transactions exceeding ₹10 Lakhs (or equivalent) in a single day. More importantly, if a customer attempts to</w:t>
      </w:r>
      <w:r>
        <w:t xml:space="preserve"> </w:t>
      </w:r>
      <w:r>
        <w:t xml:space="preserve">“</w:t>
      </w:r>
      <w:r>
        <w:t xml:space="preserve">structure</w:t>
      </w:r>
      <w:r>
        <w:t xml:space="preserve">”</w:t>
      </w:r>
      <w:r>
        <w:t xml:space="preserve"> </w:t>
      </w:r>
      <w:r>
        <w:t xml:space="preserve">deposits to evade CTR (e.g., splitting ₹11 Lakhs into multiple ₹2 Lakhs deposits), this is itself a form of money laundering and must be reported as an STR to FIU-IND. Option A (allow split deposits) violates AML compliance. Option B (refuse CTR) is incorrect; CTR must be filed. Option D (accept split with explanation) misses the structuring violation. References: RBI CTR Guidelines; PMLA Act 2002 (Section 3 — prohibition on money laundering); FIU-IND Structuring Alert Guidance.</w:t>
      </w:r>
    </w:p>
    <w:p>
      <w:pPr>
        <w:pStyle w:val="BodyText"/>
      </w:pPr>
      <w:r>
        <w:rPr>
          <w:b/>
        </w:rPr>
        <w:t xml:space="preserve">rubric:</w:t>
      </w:r>
    </w:p>
    <w:p>
      <w:pPr>
        <w:pStyle w:val="BodyText"/>
      </w:pPr>
      <w:r>
        <w:t xml:space="preserve">MCQ; correct = 7 points (escalated to Hard difficulty due to structuring element). Partial credit (3 pts) if candidate identifies CTR filing is mandatory but does not recognize the structuring violation requiring STR escalation.</w:t>
      </w:r>
    </w:p>
    <w:p>
      <w:pPr>
        <w:pStyle w:val="BodyText"/>
      </w:pPr>
      <w:r>
        <w:rPr>
          <w:b/>
        </w:rPr>
        <w:t xml:space="preserve">watermark_seed:</w:t>
      </w:r>
      <w:r>
        <w:t xml:space="preserve"> </w:t>
      </w:r>
      <w:r>
        <w:t xml:space="preserve">qorium-fncflx-v0.6-035-seed-7e1d3c6b</w:t>
      </w:r>
      <w:r>
        <w:br/>
      </w:r>
      <w:r>
        <w:rPr>
          <w:b/>
        </w:rPr>
        <w:t xml:space="preserve">variant_seed:</w:t>
      </w:r>
      <w:r>
        <w:t xml:space="preserve"> </w:t>
      </w:r>
      <w:r>
        <w:t xml:space="preserve">qorium-fncflx-v0.6-2026-05-03-035</w:t>
      </w:r>
      <w:r>
        <w:br/>
      </w:r>
      <w:r>
        <w:rPr>
          <w:b/>
        </w:rPr>
        <w:t xml:space="preserve">bias_check_notes:</w:t>
      </w:r>
      <w:r>
        <w:t xml:space="preserve"> </w:t>
      </w:r>
      <w:r>
        <w:t xml:space="preserve">No bias. CTR + structuring detection is universal AML practice; mandatory in India.</w:t>
      </w:r>
    </w:p>
    <w:p>
      <w:r>
        <w:pict>
          <v:rect style="width:0;height:1.5pt" o:hralign="center" o:hrstd="t" o:hr="t"/>
        </w:pict>
      </w:r>
    </w:p>
    <w:p>
      <w:pPr>
        <w:pStyle w:val="Heading3"/>
      </w:pPr>
      <w:bookmarkStart w:id="40" w:name="Xab2b3fafebddccbb1ff9fbf2275b32e59c52bee"/>
      <w:r>
        <w:t xml:space="preserve">QUESTION 36: Beneficial Ownership Identification — BO Graph in AML Systems (Hard MCQ)</w:t>
      </w:r>
      <w:bookmarkEnd w:id="40"/>
    </w:p>
    <w:p>
      <w:pPr>
        <w:pStyle w:val="FirstParagraph"/>
      </w:pPr>
      <w:r>
        <w:rPr>
          <w:b/>
        </w:rPr>
        <w:t xml:space="preserve">question_id:</w:t>
      </w:r>
      <w:r>
        <w:t xml:space="preserve"> </w:t>
      </w:r>
      <w:r>
        <w:t xml:space="preserve">QOR-FNCFLX-036</w:t>
      </w:r>
      <w:r>
        <w:br/>
      </w:r>
      <w:r>
        <w:rPr>
          <w:b/>
        </w:rPr>
        <w:t xml:space="preserve">skill_id:</w:t>
      </w:r>
      <w:r>
        <w:t xml:space="preserve"> </w:t>
      </w:r>
      <w:r>
        <w:t xml:space="preserve">senior-finacle-flexcube</w:t>
      </w:r>
      <w:r>
        <w:br/>
      </w:r>
      <w:r>
        <w:rPr>
          <w:b/>
        </w:rPr>
        <w:t xml:space="preserve">sub_skill_id:</w:t>
      </w:r>
      <w:r>
        <w:t xml:space="preserve"> </w:t>
      </w:r>
      <w:r>
        <w:t xml:space="preserve">aml-beneficial-ownership</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RBI Master Circular on KYC (2016) §2.3 (Beneficial Ownership); PMLA Rules 2009 (Rule 2(1)(vi)); RBI MeitY Fintech Initiative on BO Graph Sharing</w:t>
      </w:r>
    </w:p>
    <w:p>
      <w:pPr>
        <w:pStyle w:val="BodyText"/>
      </w:pPr>
      <w:r>
        <w:rPr>
          <w:b/>
        </w:rPr>
        <w:t xml:space="preserve">body:</w:t>
      </w:r>
    </w:p>
    <w:p>
      <w:pPr>
        <w:pStyle w:val="BodyText"/>
      </w:pPr>
      <w:r>
        <w:t xml:space="preserve">A Finacle AML system integrates with a BO (Beneficial Ownership) graph service to identify true beneficial owners of corporate customers. A company</w:t>
      </w:r>
      <w:r>
        <w:t xml:space="preserve"> </w:t>
      </w:r>
      <w:r>
        <w:t xml:space="preserve">“</w:t>
      </w:r>
      <w:r>
        <w:t xml:space="preserve">ACME India Pvt Ltd</w:t>
      </w:r>
      <w:r>
        <w:t xml:space="preserve">”</w:t>
      </w:r>
      <w:r>
        <w:t xml:space="preserve"> </w:t>
      </w:r>
      <w:r>
        <w:t xml:space="preserve">has the following structure: (1) Publicly listed on NSE, (2) Directors: Alice (5% stake), Bob (8% stake), Charlie (4% stake), (3) Institutional shareholders: Investment Fund XYZ (held by Pension Trust ABC, owned 70% by Regulator-Approved University Endowment). Per RBI KYC/BO identification mandate, who is the Primary Beneficial Owner (PBO) for AML purposes?</w:t>
      </w:r>
    </w:p>
    <w:p>
      <w:pPr>
        <w:pStyle w:val="BodyText"/>
      </w:pPr>
      <w:r>
        <w:rPr>
          <w:b/>
        </w:rPr>
        <w:t xml:space="preserve">options:</w:t>
      </w:r>
    </w:p>
    <w:p>
      <w:pPr>
        <w:numPr>
          <w:ilvl w:val="1"/>
          <w:numId w:val="1077"/>
        </w:numPr>
        <w:pStyle w:val="Compact"/>
      </w:pPr>
      <w:r>
        <w:t xml:space="preserve">Alice (highest individual stake: 5%)</w:t>
      </w:r>
    </w:p>
    <w:p>
      <w:pPr>
        <w:numPr>
          <w:ilvl w:val="1"/>
          <w:numId w:val="1078"/>
        </w:numPr>
        <w:pStyle w:val="Compact"/>
      </w:pPr>
      <w:r>
        <w:t xml:space="preserve">Bob (highest individual stake: 8%)</w:t>
      </w:r>
    </w:p>
    <w:p>
      <w:pPr>
        <w:numPr>
          <w:ilvl w:val="1"/>
          <w:numId w:val="1079"/>
        </w:numPr>
        <w:pStyle w:val="Compact"/>
      </w:pPr>
      <w:r>
        <w:t xml:space="preserve">The University Endowment (ultimate beneficial owner through Pension Trust → Investment Fund → ACME)</w:t>
      </w:r>
    </w:p>
    <w:p>
      <w:pPr>
        <w:numPr>
          <w:ilvl w:val="1"/>
          <w:numId w:val="1080"/>
        </w:numPr>
        <w:pStyle w:val="Compact"/>
      </w:pPr>
      <w:r>
        <w:t xml:space="preserve">The company is exempt from BO identification because it is publicly listed on NSE; no single PBO is required</w:t>
      </w:r>
    </w:p>
    <w:p>
      <w:pPr>
        <w:pStyle w:val="FirstParagraph"/>
      </w:pPr>
      <w:r>
        <w:rPr>
          <w:b/>
        </w:rPr>
        <w:t xml:space="preserve">answer_key:</w:t>
      </w:r>
    </w:p>
    <w:p>
      <w:pPr>
        <w:pStyle w:val="BodyText"/>
      </w:pPr>
      <w:r>
        <w:t xml:space="preserve">D — Per RBI KYC Master Circular, publicly listed companies (NSE/BSE listed) are</w:t>
      </w:r>
      <w:r>
        <w:t xml:space="preserve"> </w:t>
      </w:r>
      <w:r>
        <w:rPr>
          <w:b/>
        </w:rPr>
        <w:t xml:space="preserve">exempt</w:t>
      </w:r>
      <w:r>
        <w:t xml:space="preserve"> </w:t>
      </w:r>
      <w:r>
        <w:t xml:space="preserve">from explicit Beneficial Ownership identification if they are subject to SEBI regulations and public disclosure requirements. The NSE-listed status provides sufficient transparency and regulatory oversight. The BO identification requirement applies primarily to private companies, private partnerships, trusts, and non-transparent corporate structures. Option C (University Endowment) would be the theoretical ultimate BO if ACME were private, but the exemption for listed companies overrides this. References: RBI Master Circular on KYC §2.3 (Listed Company Exemption); SEBI Listing Rules §2(1)(c) (transparency in listed entities).</w:t>
      </w:r>
    </w:p>
    <w:p>
      <w:pPr>
        <w:pStyle w:val="BodyText"/>
      </w:pPr>
      <w:r>
        <w:rPr>
          <w:b/>
        </w:rPr>
        <w:t xml:space="preserve">rubric:</w:t>
      </w:r>
    </w:p>
    <w:p>
      <w:pPr>
        <w:pStyle w:val="BodyText"/>
      </w:pPr>
      <w:r>
        <w:t xml:space="preserve">Hard MCQ; correct = 6 points, incorrect = 0. Penalize if candidate does not recognize the listed-company exemption and attempts to trace the BO graph (a common mistake for candidates unfamiliar with RBI KYC rules).</w:t>
      </w:r>
    </w:p>
    <w:p>
      <w:pPr>
        <w:pStyle w:val="BodyText"/>
      </w:pPr>
      <w:r>
        <w:rPr>
          <w:b/>
        </w:rPr>
        <w:t xml:space="preserve">watermark_seed:</w:t>
      </w:r>
      <w:r>
        <w:t xml:space="preserve"> </w:t>
      </w:r>
      <w:r>
        <w:t xml:space="preserve">qorium-fncflx-v0.6-036-seed-3a9c2e5f</w:t>
      </w:r>
      <w:r>
        <w:br/>
      </w:r>
      <w:r>
        <w:rPr>
          <w:b/>
        </w:rPr>
        <w:t xml:space="preserve">variant_seed:</w:t>
      </w:r>
      <w:r>
        <w:t xml:space="preserve"> </w:t>
      </w:r>
      <w:r>
        <w:t xml:space="preserve">qorium-fncflx-v0.6-2026-05-03-036</w:t>
      </w:r>
      <w:r>
        <w:br/>
      </w:r>
      <w:r>
        <w:rPr>
          <w:b/>
        </w:rPr>
        <w:t xml:space="preserve">bias_check_notes:</w:t>
      </w:r>
      <w:r>
        <w:t xml:space="preserve"> </w:t>
      </w:r>
      <w:r>
        <w:t xml:space="preserve">No bias. Beneficial ownership identification is universal AML practice; RBI-mandated for Indian banks.</w:t>
      </w:r>
    </w:p>
    <w:p>
      <w:r>
        <w:pict>
          <v:rect style="width:0;height:1.5pt" o:hralign="center" o:hrstd="t" o:hr="t"/>
        </w:pict>
      </w:r>
    </w:p>
    <w:p>
      <w:pPr>
        <w:pStyle w:val="Heading2"/>
      </w:pPr>
      <w:bookmarkStart w:id="41" w:name="Xf6cbd5a0da5d3ce753f4775ff038139cee730dd"/>
      <w:r>
        <w:t xml:space="preserve">SECTION 5: PERFORMANCE + SCALE — CORE BANKING (2 questions)</w:t>
      </w:r>
      <w:bookmarkEnd w:id="41"/>
    </w:p>
    <w:p>
      <w:r>
        <w:pict>
          <v:rect style="width:0;height:1.5pt" o:hralign="center" o:hrstd="t" o:hr="t"/>
        </w:pict>
      </w:r>
    </w:p>
    <w:p>
      <w:pPr>
        <w:pStyle w:val="Heading3"/>
      </w:pPr>
      <w:bookmarkStart w:id="42" w:name="X4bb63018639e75bded645ff12aa40fec35b4d6b"/>
      <w:r>
        <w:t xml:space="preserve">QUESTION 37: Finacle End-of-Day Batch Processing — Memo Posting vs. Final Posting (Code Question)</w:t>
      </w:r>
      <w:bookmarkEnd w:id="42"/>
    </w:p>
    <w:p>
      <w:pPr>
        <w:pStyle w:val="FirstParagraph"/>
      </w:pPr>
      <w:r>
        <w:rPr>
          <w:b/>
        </w:rPr>
        <w:t xml:space="preserve">question_id:</w:t>
      </w:r>
      <w:r>
        <w:t xml:space="preserve"> </w:t>
      </w:r>
      <w:r>
        <w:t xml:space="preserve">QOR-FNCFLX-037</w:t>
      </w:r>
      <w:r>
        <w:br/>
      </w:r>
      <w:r>
        <w:rPr>
          <w:b/>
        </w:rPr>
        <w:t xml:space="preserve">skill_id:</w:t>
      </w:r>
      <w:r>
        <w:t xml:space="preserve"> </w:t>
      </w:r>
      <w:r>
        <w:t xml:space="preserve">senior-finacle-flexcube</w:t>
      </w:r>
      <w:r>
        <w:br/>
      </w:r>
      <w:r>
        <w:rPr>
          <w:b/>
        </w:rPr>
        <w:t xml:space="preserve">sub_skill_id:</w:t>
      </w:r>
      <w:r>
        <w:t xml:space="preserve"> </w:t>
      </w:r>
      <w:r>
        <w:t xml:space="preserve">performance-scale-eod</w:t>
      </w:r>
      <w:r>
        <w:br/>
      </w:r>
      <w:r>
        <w:rPr>
          <w:b/>
        </w:rPr>
        <w:t xml:space="preserve">format:</w:t>
      </w:r>
      <w:r>
        <w:t xml:space="preserve"> </w:t>
      </w:r>
      <w:r>
        <w:t xml:space="preserve">Code</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10</w:t>
      </w:r>
      <w:r>
        <w:br/>
      </w:r>
      <w:r>
        <w:rPr>
          <w:b/>
        </w:rPr>
        <w:t xml:space="preserve">citation:</w:t>
      </w:r>
      <w:r>
        <w:t xml:space="preserve"> </w:t>
      </w:r>
      <w:r>
        <w:t xml:space="preserve">Infosys Finacle Core Banking End-of-Day Batch Configuration §3.1; Finacle API Development Guide (Account Posting)</w:t>
      </w:r>
    </w:p>
    <w:p>
      <w:pPr>
        <w:pStyle w:val="BodyText"/>
      </w:pPr>
      <w:r>
        <w:rPr>
          <w:b/>
        </w:rPr>
        <w:t xml:space="preserve">body:</w:t>
      </w:r>
    </w:p>
    <w:p>
      <w:pPr>
        <w:pStyle w:val="BodyText"/>
      </w:pPr>
      <w:r>
        <w:t xml:space="preserve">A bank’s Finacle EOD (End-of-Day) batch process must post ₹500 Cr in interest accrual transactions for 5 million savings accounts. The posting must be completed by 2:00 AM IST the next morning (to allow RBI reporting at 6:00 AM). Currently, the batch is running in</w:t>
      </w:r>
      <w:r>
        <w:t xml:space="preserve"> </w:t>
      </w:r>
      <w:r>
        <w:rPr>
          <w:b/>
        </w:rPr>
        <w:t xml:space="preserve">single-threaded Final Posting</w:t>
      </w:r>
      <w:r>
        <w:t xml:space="preserve"> </w:t>
      </w:r>
      <w:r>
        <w:t xml:space="preserve">mode (1 thread, sequential account processing), and consistently exceeds the SLA by 45 minutes.</w:t>
      </w:r>
    </w:p>
    <w:p>
      <w:pPr>
        <w:pStyle w:val="BodyText"/>
      </w:pPr>
      <w:r>
        <w:t xml:space="preserve">The architecture has 4 parallel batch workers, each with independent database connections.</w:t>
      </w:r>
    </w:p>
    <w:p>
      <w:pPr>
        <w:pStyle w:val="BodyText"/>
      </w:pPr>
      <w:r>
        <w:rPr>
          <w:b/>
        </w:rPr>
        <w:t xml:space="preserve">Design a pseudo-code or architecture snippet that transitions from single-threaded Final Posting to a hybrid Memo Posting + Final Posting approach to parallelize the work and meet the SLA.</w:t>
      </w:r>
    </w:p>
    <w:p>
      <w:pPr>
        <w:pStyle w:val="BodyText"/>
      </w:pPr>
      <w:r>
        <w:rPr>
          <w:b/>
        </w:rPr>
        <w:t xml:space="preserve">Expected elements:</w:t>
      </w:r>
    </w:p>
    <w:p>
      <w:pPr>
        <w:numPr>
          <w:ilvl w:val="0"/>
          <w:numId w:val="1081"/>
        </w:numPr>
      </w:pPr>
      <w:r>
        <w:rPr>
          <w:b/>
        </w:rPr>
        <w:t xml:space="preserve">Memo Posting phase</w:t>
      </w:r>
      <w:r>
        <w:t xml:space="preserve"> </w:t>
      </w:r>
      <w:r>
        <w:t xml:space="preserve">(parallel, 4 workers): Each worker processes a contiguous block of 1.25M accounts and issues a memo debit to each account’s interest-pending reserve. Memo posts are isolated (do not affect available balance, only internal reserve).</w:t>
      </w:r>
    </w:p>
    <w:p>
      <w:pPr>
        <w:numPr>
          <w:ilvl w:val="0"/>
          <w:numId w:val="1081"/>
        </w:numPr>
      </w:pPr>
      <w:r>
        <w:rPr>
          <w:b/>
        </w:rPr>
        <w:t xml:space="preserve">Batch synchronization</w:t>
      </w:r>
      <w:r>
        <w:t xml:space="preserve">: All 4 workers complete memo posting and confirm via a shared lock file or database checkpoint.</w:t>
      </w:r>
    </w:p>
    <w:p>
      <w:pPr>
        <w:numPr>
          <w:ilvl w:val="0"/>
          <w:numId w:val="1081"/>
        </w:numPr>
      </w:pPr>
      <w:r>
        <w:rPr>
          <w:b/>
        </w:rPr>
        <w:t xml:space="preserve">Final Posting phase</w:t>
      </w:r>
      <w:r>
        <w:t xml:space="preserve"> </w:t>
      </w:r>
      <w:r>
        <w:t xml:space="preserve">(parallel, 4 workers): Workers read the memo posting log and issue final debits to each account. Final posts update available balance.</w:t>
      </w:r>
    </w:p>
    <w:p>
      <w:pPr>
        <w:numPr>
          <w:ilvl w:val="0"/>
          <w:numId w:val="1081"/>
        </w:numPr>
      </w:pPr>
      <w:r>
        <w:rPr>
          <w:b/>
        </w:rPr>
        <w:t xml:space="preserve">Error handling</w:t>
      </w:r>
      <w:r>
        <w:t xml:space="preserve">: If any worker fails during Memo Posting, abort all memo posts (rollback via stored procedure</w:t>
      </w:r>
      <w:r>
        <w:t xml:space="preserve"> </w:t>
      </w:r>
      <w:r>
        <w:rPr>
          <w:rStyle w:val="VerbatimChar"/>
        </w:rPr>
        <w:t xml:space="preserve">ROLLBACK_MEMO_BATCH</w:t>
      </w:r>
      <w:r>
        <w:t xml:space="preserve">); if any worker fails during Final Posting, log the failure account list and retry (max 3 retries).</w:t>
      </w:r>
    </w:p>
    <w:p>
      <w:pPr>
        <w:pStyle w:val="FirstParagraph"/>
      </w:pPr>
      <w:r>
        <w:rPr>
          <w:b/>
        </w:rPr>
        <w:t xml:space="preserve">Pseudocode template provided:</w:t>
      </w:r>
    </w:p>
    <w:p>
      <w:pPr>
        <w:pStyle w:val="SourceCode"/>
      </w:pPr>
      <w:r>
        <w:rPr>
          <w:rStyle w:val="VerbatimChar"/>
        </w:rPr>
        <w:t xml:space="preserve">-- PHASE 1: MEMO POSTING (Parallel)</w:t>
      </w:r>
      <w:r>
        <w:br/>
      </w:r>
      <w:r>
        <w:rPr>
          <w:rStyle w:val="VerbatimChar"/>
        </w:rPr>
        <w:t xml:space="preserve">Worker_1 to Worker_4:</w:t>
      </w:r>
      <w:r>
        <w:br/>
      </w:r>
      <w:r>
        <w:rPr>
          <w:rStyle w:val="VerbatimChar"/>
        </w:rPr>
        <w:t xml:space="preserve">  SELECT accounts WHERE cif_id BETWEEN range_start AND range_end</w:t>
      </w:r>
      <w:r>
        <w:br/>
      </w:r>
      <w:r>
        <w:rPr>
          <w:rStyle w:val="VerbatimChar"/>
        </w:rPr>
        <w:t xml:space="preserve">  FOR EACH account:</w:t>
      </w:r>
      <w:r>
        <w:br/>
      </w:r>
      <w:r>
        <w:rPr>
          <w:rStyle w:val="VerbatimChar"/>
        </w:rPr>
        <w:t xml:space="preserve">    CALL FSL_MEMO_POST(account_id, interest_amount, 'ACCRUAL_RESERVE')</w:t>
      </w:r>
      <w:r>
        <w:br/>
      </w:r>
      <w:r>
        <w:rPr>
          <w:rStyle w:val="VerbatimChar"/>
        </w:rPr>
        <w:t xml:space="preserve">    -- Memo posting: internal reserve updated, available balance unchanged</w:t>
      </w:r>
      <w:r>
        <w:br/>
      </w:r>
      <w:r>
        <w:rPr>
          <w:rStyle w:val="VerbatimChar"/>
        </w:rPr>
        <w:t xml:space="preserve">  LOG(worker_id, memo_posted_count)</w:t>
      </w:r>
      <w:r>
        <w:br/>
      </w:r>
      <w:r>
        <w:rPr>
          <w:rStyle w:val="VerbatimChar"/>
        </w:rPr>
        <w:t xml:space="preserve">  WRITE_CHECKPOINT(worker_id, 'MEMO_COMPLETE')</w:t>
      </w:r>
      <w:r>
        <w:br/>
      </w:r>
      <w:r>
        <w:br/>
      </w:r>
      <w:r>
        <w:rPr>
          <w:rStyle w:val="VerbatimChar"/>
        </w:rPr>
        <w:t xml:space="preserve">-- PHASE 2: SYNCHRONIZATION</w:t>
      </w:r>
      <w:r>
        <w:br/>
      </w:r>
      <w:r>
        <w:rPr>
          <w:rStyle w:val="VerbatimChar"/>
        </w:rPr>
        <w:t xml:space="preserve">  WAIT_FOR_ALL_CHECKPOINTS('MEMO_COMPLETE', timeout=60min)</w:t>
      </w:r>
      <w:r>
        <w:br/>
      </w:r>
      <w:r>
        <w:rPr>
          <w:rStyle w:val="VerbatimChar"/>
        </w:rPr>
        <w:t xml:space="preserve">  IF any_worker_timeout OR any_error:</w:t>
      </w:r>
      <w:r>
        <w:br/>
      </w:r>
      <w:r>
        <w:rPr>
          <w:rStyle w:val="VerbatimChar"/>
        </w:rPr>
        <w:t xml:space="preserve">    CALL ROLLBACK_MEMO_BATCH(batch_id)</w:t>
      </w:r>
      <w:r>
        <w:br/>
      </w:r>
      <w:r>
        <w:rPr>
          <w:rStyle w:val="VerbatimChar"/>
        </w:rPr>
        <w:t xml:space="preserve">    EXIT_WITH_FAILURE</w:t>
      </w:r>
      <w:r>
        <w:br/>
      </w:r>
      <w:r>
        <w:br/>
      </w:r>
      <w:r>
        <w:rPr>
          <w:rStyle w:val="VerbatimChar"/>
        </w:rPr>
        <w:t xml:space="preserve">-- PHASE 3: FINAL POSTING (Parallel)</w:t>
      </w:r>
      <w:r>
        <w:br/>
      </w:r>
      <w:r>
        <w:rPr>
          <w:rStyle w:val="VerbatimChar"/>
        </w:rPr>
        <w:t xml:space="preserve">Worker_1 to Worker_4:</w:t>
      </w:r>
      <w:r>
        <w:br/>
      </w:r>
      <w:r>
        <w:rPr>
          <w:rStyle w:val="VerbatimChar"/>
        </w:rPr>
        <w:t xml:space="preserve">  SELECT memo_posting_log WHERE worker_id = current_worker</w:t>
      </w:r>
      <w:r>
        <w:br/>
      </w:r>
      <w:r>
        <w:rPr>
          <w:rStyle w:val="VerbatimChar"/>
        </w:rPr>
        <w:t xml:space="preserve">  FOR EACH memo_post:</w:t>
      </w:r>
      <w:r>
        <w:br/>
      </w:r>
      <w:r>
        <w:rPr>
          <w:rStyle w:val="VerbatimChar"/>
        </w:rPr>
        <w:t xml:space="preserve">    CALL FSL_FINAL_POST(account_id, interest_amount, 'ACCRUAL_FINAL')</w:t>
      </w:r>
      <w:r>
        <w:br/>
      </w:r>
      <w:r>
        <w:rPr>
          <w:rStyle w:val="VerbatimChar"/>
        </w:rPr>
        <w:t xml:space="preserve">    -- Final posting: available balance updated</w:t>
      </w:r>
      <w:r>
        <w:br/>
      </w:r>
      <w:r>
        <w:rPr>
          <w:rStyle w:val="VerbatimChar"/>
        </w:rPr>
        <w:t xml:space="preserve">  LOG(worker_id, final_posted_count)</w:t>
      </w:r>
      <w:r>
        <w:br/>
      </w:r>
      <w:r>
        <w:rPr>
          <w:rStyle w:val="VerbatimChar"/>
        </w:rPr>
        <w:t xml:space="preserve">  RETRY_FAILED_ACCOUNTS(max_retries=3, failure_log)</w:t>
      </w:r>
      <w:r>
        <w:br/>
      </w:r>
      <w:r>
        <w:br/>
      </w:r>
      <w:r>
        <w:rPr>
          <w:rStyle w:val="VerbatimChar"/>
        </w:rPr>
        <w:t xml:space="preserve">-- PHASE 4: REPORT</w:t>
      </w:r>
      <w:r>
        <w:br/>
      </w:r>
      <w:r>
        <w:rPr>
          <w:rStyle w:val="VerbatimChar"/>
        </w:rPr>
        <w:t xml:space="preserve">  AGGREGATE_RESULTS(all_workers)</w:t>
      </w:r>
      <w:r>
        <w:br/>
      </w:r>
      <w:r>
        <w:rPr>
          <w:rStyle w:val="VerbatimChar"/>
        </w:rPr>
        <w:t xml:space="preserve">  GENERATE_EOD_SETTLEMENT_REPORT(total_posted, total_failed, timestamp)</w:t>
      </w:r>
    </w:p>
    <w:p>
      <w:pPr>
        <w:pStyle w:val="FirstParagraph"/>
      </w:pPr>
      <w:r>
        <w:rPr>
          <w:b/>
        </w:rPr>
        <w:t xml:space="preserve">Answer rubric:</w:t>
      </w:r>
    </w:p>
    <w:p>
      <w:pPr>
        <w:numPr>
          <w:ilvl w:val="0"/>
          <w:numId w:val="1082"/>
        </w:numPr>
        <w:pStyle w:val="Compact"/>
      </w:pPr>
      <w:r>
        <w:t xml:space="preserve">Candidate demonstrates understanding of Memo Posting (non-impacting reserve) vs. Final Posting (available balance impact)</w:t>
      </w:r>
    </w:p>
    <w:p>
      <w:pPr>
        <w:numPr>
          <w:ilvl w:val="0"/>
          <w:numId w:val="1082"/>
        </w:numPr>
        <w:pStyle w:val="Compact"/>
      </w:pPr>
      <w:r>
        <w:t xml:space="preserve">Candidate designs a 4-parallel-worker approach with explicit phase synchronization</w:t>
      </w:r>
    </w:p>
    <w:p>
      <w:pPr>
        <w:numPr>
          <w:ilvl w:val="0"/>
          <w:numId w:val="1082"/>
        </w:numPr>
        <w:pStyle w:val="Compact"/>
      </w:pPr>
      <w:r>
        <w:t xml:space="preserve">Candidate includes rollback/error handling for both phases</w:t>
      </w:r>
    </w:p>
    <w:p>
      <w:pPr>
        <w:numPr>
          <w:ilvl w:val="0"/>
          <w:numId w:val="1082"/>
        </w:numPr>
        <w:pStyle w:val="Compact"/>
      </w:pPr>
      <w:r>
        <w:t xml:space="preserve">Candidate specifies a batch checkpoint mechanism (lock file, DB status table, or heartbeat)</w:t>
      </w:r>
    </w:p>
    <w:p>
      <w:pPr>
        <w:numPr>
          <w:ilvl w:val="0"/>
          <w:numId w:val="1082"/>
        </w:numPr>
        <w:pStyle w:val="Compact"/>
      </w:pPr>
      <w:r>
        <w:t xml:space="preserve">Code is Finacle-API compliant (FSL functions, account ID ranges, batch status logging)</w:t>
      </w:r>
    </w:p>
    <w:p>
      <w:pPr>
        <w:pStyle w:val="FirstParagraph"/>
      </w:pPr>
      <w:r>
        <w:rPr>
          <w:b/>
        </w:rPr>
        <w:t xml:space="preserve">Expected answer:</w:t>
      </w:r>
    </w:p>
    <w:p>
      <w:pPr>
        <w:pStyle w:val="BodyText"/>
      </w:pPr>
      <w:r>
        <w:t xml:space="preserve">A correct implementation should include:</w:t>
      </w:r>
      <w:r>
        <w:t xml:space="preserve"> </w:t>
      </w:r>
      <w:r>
        <w:t xml:space="preserve">1. Worker task distribution by account range (range_start/range_end)</w:t>
      </w:r>
      <w:r>
        <w:t xml:space="preserve"> </w:t>
      </w:r>
      <w:r>
        <w:t xml:space="preserve">2. Memo posting loop with FSL API calls</w:t>
      </w:r>
      <w:r>
        <w:t xml:space="preserve"> </w:t>
      </w:r>
      <w:r>
        <w:t xml:space="preserve">3. Checkpoint synchronization (e.g.,</w:t>
      </w:r>
      <w:r>
        <w:t xml:space="preserve"> </w:t>
      </w:r>
      <w:r>
        <w:rPr>
          <w:rStyle w:val="VerbatimChar"/>
        </w:rPr>
        <w:t xml:space="preserve">WAIT_FOR_ALL_CHECKPOINTS</w:t>
      </w:r>
      <w:r>
        <w:t xml:space="preserve">)</w:t>
      </w:r>
      <w:r>
        <w:t xml:space="preserve"> </w:t>
      </w:r>
      <w:r>
        <w:t xml:space="preserve">4. Rollback mechanism on failure</w:t>
      </w:r>
      <w:r>
        <w:t xml:space="preserve"> </w:t>
      </w:r>
      <w:r>
        <w:t xml:space="preserve">5. Final posting loop with retry logic (max 3 retries)</w:t>
      </w:r>
      <w:r>
        <w:t xml:space="preserve"> </w:t>
      </w:r>
      <w:r>
        <w:t xml:space="preserve">6. Aggregated result reporting and audit trail</w:t>
      </w:r>
    </w:p>
    <w:p>
      <w:pPr>
        <w:pStyle w:val="BodyText"/>
      </w:pPr>
      <w:r>
        <w:rPr>
          <w:b/>
        </w:rPr>
        <w:t xml:space="preserve">Full rubric:</w:t>
      </w:r>
    </w:p>
    <w:p>
      <w:pPr>
        <w:numPr>
          <w:ilvl w:val="0"/>
          <w:numId w:val="1083"/>
        </w:numPr>
        <w:pStyle w:val="Compact"/>
      </w:pPr>
      <w:r>
        <w:rPr>
          <w:b/>
        </w:rPr>
        <w:t xml:space="preserve">Excellent (9–10 pts):</w:t>
      </w:r>
      <w:r>
        <w:t xml:space="preserve"> </w:t>
      </w:r>
      <w:r>
        <w:t xml:space="preserve">All 5 elements present; clean separation of phases; explicit synchronization; proper error handling with retry logic</w:t>
      </w:r>
    </w:p>
    <w:p>
      <w:pPr>
        <w:numPr>
          <w:ilvl w:val="0"/>
          <w:numId w:val="1083"/>
        </w:numPr>
        <w:pStyle w:val="Compact"/>
      </w:pPr>
      <w:r>
        <w:rPr>
          <w:b/>
        </w:rPr>
        <w:t xml:space="preserve">Good (7–8 pts):</w:t>
      </w:r>
      <w:r>
        <w:t xml:space="preserve"> </w:t>
      </w:r>
      <w:r>
        <w:t xml:space="preserve">4 of 5 elements; minor gaps in error handling or synchronization detail</w:t>
      </w:r>
    </w:p>
    <w:p>
      <w:pPr>
        <w:numPr>
          <w:ilvl w:val="0"/>
          <w:numId w:val="1083"/>
        </w:numPr>
        <w:pStyle w:val="Compact"/>
      </w:pPr>
      <w:r>
        <w:rPr>
          <w:b/>
        </w:rPr>
        <w:t xml:space="preserve">Adequate (5–6 pts):</w:t>
      </w:r>
      <w:r>
        <w:t xml:space="preserve"> </w:t>
      </w:r>
      <w:r>
        <w:t xml:space="preserve">3 of 5 elements; understands memo vs. final posting, but lacks full parallelization detail</w:t>
      </w:r>
    </w:p>
    <w:p>
      <w:pPr>
        <w:numPr>
          <w:ilvl w:val="0"/>
          <w:numId w:val="1083"/>
        </w:numPr>
        <w:pStyle w:val="Compact"/>
      </w:pPr>
      <w:r>
        <w:rPr>
          <w:b/>
        </w:rPr>
        <w:t xml:space="preserve">Poor (&lt; 5 pts):</w:t>
      </w:r>
      <w:r>
        <w:t xml:space="preserve"> </w:t>
      </w:r>
      <w:r>
        <w:t xml:space="preserve">Does not distinguish memo posting from final posting; single-threaded or incorrect Finacle API usage</w:t>
      </w:r>
    </w:p>
    <w:p>
      <w:pPr>
        <w:pStyle w:val="FirstParagraph"/>
      </w:pPr>
      <w:r>
        <w:rPr>
          <w:b/>
        </w:rPr>
        <w:t xml:space="preserve">watermark_seed:</w:t>
      </w:r>
      <w:r>
        <w:t xml:space="preserve"> </w:t>
      </w:r>
      <w:r>
        <w:t xml:space="preserve">qorium-fncflx-v0.6-037-seed-5c9d4e2b</w:t>
      </w:r>
      <w:r>
        <w:br/>
      </w:r>
      <w:r>
        <w:rPr>
          <w:b/>
        </w:rPr>
        <w:t xml:space="preserve">variant_seed:</w:t>
      </w:r>
      <w:r>
        <w:t xml:space="preserve"> </w:t>
      </w:r>
      <w:r>
        <w:t xml:space="preserve">qorium-fncflx-v0.6-2026-05-03-037</w:t>
      </w:r>
      <w:r>
        <w:br/>
      </w:r>
      <w:r>
        <w:rPr>
          <w:b/>
        </w:rPr>
        <w:t xml:space="preserve">bias_check_notes:</w:t>
      </w:r>
      <w:r>
        <w:t xml:space="preserve"> </w:t>
      </w:r>
      <w:r>
        <w:t xml:space="preserve">No bias. Core banking batch optimization is universal practice; Finacle-specific but applicable to any BFSI core system.</w:t>
      </w:r>
    </w:p>
    <w:p>
      <w:r>
        <w:pict>
          <v:rect style="width:0;height:1.5pt" o:hralign="center" o:hrstd="t" o:hr="t"/>
        </w:pict>
      </w:r>
    </w:p>
    <w:p>
      <w:pPr>
        <w:pStyle w:val="Heading3"/>
      </w:pPr>
      <w:bookmarkStart w:id="43" w:name="X3ee76bce42f6bc6ac0b8d4e655207d7eabc1dd3"/>
      <w:r>
        <w:t xml:space="preserve">QUESTION 38: Finacle Daily Batch Parallelization — Dependency DAG (Code Question)</w:t>
      </w:r>
      <w:bookmarkEnd w:id="43"/>
    </w:p>
    <w:p>
      <w:pPr>
        <w:pStyle w:val="FirstParagraph"/>
      </w:pPr>
      <w:r>
        <w:rPr>
          <w:b/>
        </w:rPr>
        <w:t xml:space="preserve">question_id:</w:t>
      </w:r>
      <w:r>
        <w:t xml:space="preserve"> </w:t>
      </w:r>
      <w:r>
        <w:t xml:space="preserve">QOR-FNCFLX-038</w:t>
      </w:r>
      <w:r>
        <w:br/>
      </w:r>
      <w:r>
        <w:rPr>
          <w:b/>
        </w:rPr>
        <w:t xml:space="preserve">skill_id:</w:t>
      </w:r>
      <w:r>
        <w:t xml:space="preserve"> </w:t>
      </w:r>
      <w:r>
        <w:t xml:space="preserve">senior-finacle-flexcube</w:t>
      </w:r>
      <w:r>
        <w:br/>
      </w:r>
      <w:r>
        <w:rPr>
          <w:b/>
        </w:rPr>
        <w:t xml:space="preserve">sub_skill_id:</w:t>
      </w:r>
      <w:r>
        <w:t xml:space="preserve"> </w:t>
      </w:r>
      <w:r>
        <w:t xml:space="preserve">performance-scale-batch-dag</w:t>
      </w:r>
      <w:r>
        <w:br/>
      </w:r>
      <w:r>
        <w:rPr>
          <w:b/>
        </w:rPr>
        <w:t xml:space="preserve">format:</w:t>
      </w:r>
      <w:r>
        <w:t xml:space="preserve"> </w:t>
      </w:r>
      <w:r>
        <w:t xml:space="preserve">Code</w:t>
      </w:r>
      <w:r>
        <w:br/>
      </w:r>
      <w:r>
        <w:rPr>
          <w:b/>
        </w:rPr>
        <w:t xml:space="preserve">difficulty_b:</w:t>
      </w:r>
      <w:r>
        <w:t xml:space="preserve"> </w:t>
      </w:r>
      <w:r>
        <w:t xml:space="preserve">0.8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Apache Airflow DAG Scheduling; Finacle Batch Execution Plan (Oracle EBS Concurrent Manager); Infosys Finacle Daily Batch Architecture §5</w:t>
      </w:r>
    </w:p>
    <w:p>
      <w:pPr>
        <w:pStyle w:val="BodyText"/>
      </w:pPr>
      <w:r>
        <w:rPr>
          <w:b/>
        </w:rPr>
        <w:t xml:space="preserve">body:</w:t>
      </w:r>
    </w:p>
    <w:p>
      <w:pPr>
        <w:pStyle w:val="BodyText"/>
      </w:pPr>
      <w:r>
        <w:t xml:space="preserve">A bank’s Finacle Daily Batch runs 10 jobs with the following dependency chain (serial, completing in 6 hours):</w:t>
      </w:r>
    </w:p>
    <w:p>
      <w:pPr>
        <w:numPr>
          <w:ilvl w:val="0"/>
          <w:numId w:val="1084"/>
        </w:numPr>
        <w:pStyle w:val="Compact"/>
      </w:pPr>
      <w:r>
        <w:rPr>
          <w:b/>
        </w:rPr>
        <w:t xml:space="preserve">DLYACC</w:t>
      </w:r>
      <w:r>
        <w:t xml:space="preserve"> </w:t>
      </w:r>
      <w:r>
        <w:t xml:space="preserve">(Daily Account Reconciliation) — 45 min</w:t>
      </w:r>
    </w:p>
    <w:p>
      <w:pPr>
        <w:numPr>
          <w:ilvl w:val="0"/>
          <w:numId w:val="1084"/>
        </w:numPr>
        <w:pStyle w:val="Compact"/>
      </w:pPr>
      <w:r>
        <w:rPr>
          <w:b/>
        </w:rPr>
        <w:t xml:space="preserve">ACINT</w:t>
      </w:r>
      <w:r>
        <w:t xml:space="preserve"> </w:t>
      </w:r>
      <w:r>
        <w:t xml:space="preserve">(Interest Accrual) — depends on DLYACC — 30 min</w:t>
      </w:r>
    </w:p>
    <w:p>
      <w:pPr>
        <w:numPr>
          <w:ilvl w:val="0"/>
          <w:numId w:val="1084"/>
        </w:numPr>
        <w:pStyle w:val="Compact"/>
      </w:pPr>
      <w:r>
        <w:rPr>
          <w:b/>
        </w:rPr>
        <w:t xml:space="preserve">FEEPRO</w:t>
      </w:r>
      <w:r>
        <w:t xml:space="preserve"> </w:t>
      </w:r>
      <w:r>
        <w:t xml:space="preserve">(Fee Processing) — depends on ACINT — 20 min</w:t>
      </w:r>
    </w:p>
    <w:p>
      <w:pPr>
        <w:numPr>
          <w:ilvl w:val="0"/>
          <w:numId w:val="1084"/>
        </w:numPr>
        <w:pStyle w:val="Compact"/>
      </w:pPr>
      <w:r>
        <w:rPr>
          <w:b/>
        </w:rPr>
        <w:t xml:space="preserve">LEDGER</w:t>
      </w:r>
      <w:r>
        <w:t xml:space="preserve"> </w:t>
      </w:r>
      <w:r>
        <w:t xml:space="preserve">(Ledger Posting) — depends on FEEPRO — 15 min</w:t>
      </w:r>
    </w:p>
    <w:p>
      <w:pPr>
        <w:numPr>
          <w:ilvl w:val="0"/>
          <w:numId w:val="1084"/>
        </w:numPr>
        <w:pStyle w:val="Compact"/>
      </w:pPr>
      <w:r>
        <w:rPr>
          <w:b/>
        </w:rPr>
        <w:t xml:space="preserve">MRKTVAL</w:t>
      </w:r>
      <w:r>
        <w:t xml:space="preserve"> </w:t>
      </w:r>
      <w:r>
        <w:t xml:space="preserve">(Mark-to-Market Valuation) — independent (can run parallel to DLYACC) — 40 min</w:t>
      </w:r>
    </w:p>
    <w:p>
      <w:pPr>
        <w:numPr>
          <w:ilvl w:val="0"/>
          <w:numId w:val="1084"/>
        </w:numPr>
        <w:pStyle w:val="Compact"/>
      </w:pPr>
      <w:r>
        <w:rPr>
          <w:b/>
        </w:rPr>
        <w:t xml:space="preserve">INTAXC</w:t>
      </w:r>
      <w:r>
        <w:t xml:space="preserve"> </w:t>
      </w:r>
      <w:r>
        <w:t xml:space="preserve">(Interest Tax Calculation) — depends on ACINT — 25 min</w:t>
      </w:r>
    </w:p>
    <w:p>
      <w:pPr>
        <w:numPr>
          <w:ilvl w:val="0"/>
          <w:numId w:val="1084"/>
        </w:numPr>
        <w:pStyle w:val="Compact"/>
      </w:pPr>
      <w:r>
        <w:rPr>
          <w:b/>
        </w:rPr>
        <w:t xml:space="preserve">REPORT</w:t>
      </w:r>
      <w:r>
        <w:t xml:space="preserve"> </w:t>
      </w:r>
      <w:r>
        <w:t xml:space="preserve">(Daily Reports) — depends on LEDGER + INTAXC — 30 min</w:t>
      </w:r>
    </w:p>
    <w:p>
      <w:pPr>
        <w:numPr>
          <w:ilvl w:val="0"/>
          <w:numId w:val="1084"/>
        </w:numPr>
        <w:pStyle w:val="Compact"/>
      </w:pPr>
      <w:r>
        <w:rPr>
          <w:b/>
        </w:rPr>
        <w:t xml:space="preserve">ARCHIVE</w:t>
      </w:r>
      <w:r>
        <w:t xml:space="preserve"> </w:t>
      </w:r>
      <w:r>
        <w:t xml:space="preserve">(Data Archive) — depends on REPORT — 20 min</w:t>
      </w:r>
    </w:p>
    <w:p>
      <w:pPr>
        <w:numPr>
          <w:ilvl w:val="0"/>
          <w:numId w:val="1084"/>
        </w:numPr>
        <w:pStyle w:val="Compact"/>
      </w:pPr>
      <w:r>
        <w:rPr>
          <w:b/>
        </w:rPr>
        <w:t xml:space="preserve">BACKUP</w:t>
      </w:r>
      <w:r>
        <w:t xml:space="preserve"> </w:t>
      </w:r>
      <w:r>
        <w:t xml:space="preserve">(Database Backup) — depends on ARCHIVE — 45 min</w:t>
      </w:r>
    </w:p>
    <w:p>
      <w:pPr>
        <w:numPr>
          <w:ilvl w:val="0"/>
          <w:numId w:val="1084"/>
        </w:numPr>
        <w:pStyle w:val="Compact"/>
      </w:pPr>
      <w:r>
        <w:rPr>
          <w:b/>
        </w:rPr>
        <w:t xml:space="preserve">MAILRPT</w:t>
      </w:r>
      <w:r>
        <w:t xml:space="preserve"> </w:t>
      </w:r>
      <w:r>
        <w:t xml:space="preserve">(Email Reports) — depends on BACKUP — 10 min</w:t>
      </w:r>
    </w:p>
    <w:p>
      <w:pPr>
        <w:pStyle w:val="FirstParagraph"/>
      </w:pPr>
      <w:r>
        <w:rPr>
          <w:b/>
        </w:rPr>
        <w:t xml:space="preserve">Design a Directed Acyclic Graph (DAG) / execution plan that parallelizes independent jobs and reduces total time from 6 hours to under 3.5 hours. Provide:</w:t>
      </w:r>
    </w:p>
    <w:p>
      <w:pPr>
        <w:numPr>
          <w:ilvl w:val="0"/>
          <w:numId w:val="1085"/>
        </w:numPr>
        <w:pStyle w:val="Compact"/>
      </w:pPr>
      <w:r>
        <w:rPr>
          <w:b/>
        </w:rPr>
        <w:t xml:space="preserve">Job dependency list</w:t>
      </w:r>
      <w:r>
        <w:t xml:space="preserve"> </w:t>
      </w:r>
      <w:r>
        <w:t xml:space="preserve">(which jobs can run in parallel)</w:t>
      </w:r>
    </w:p>
    <w:p>
      <w:pPr>
        <w:numPr>
          <w:ilvl w:val="0"/>
          <w:numId w:val="1085"/>
        </w:numPr>
        <w:pStyle w:val="Compact"/>
      </w:pPr>
      <w:r>
        <w:rPr>
          <w:b/>
        </w:rPr>
        <w:t xml:space="preserve">Critical path identification</w:t>
      </w:r>
      <w:r>
        <w:t xml:space="preserve"> </w:t>
      </w:r>
      <w:r>
        <w:t xml:space="preserve">(the longest chain, which determines overall runtime)</w:t>
      </w:r>
    </w:p>
    <w:p>
      <w:pPr>
        <w:numPr>
          <w:ilvl w:val="0"/>
          <w:numId w:val="1085"/>
        </w:numPr>
        <w:pStyle w:val="Compact"/>
      </w:pPr>
      <w:r>
        <w:rPr>
          <w:b/>
        </w:rPr>
        <w:t xml:space="preserve">Parallel execution schedule</w:t>
      </w:r>
      <w:r>
        <w:t xml:space="preserve"> </w:t>
      </w:r>
      <w:r>
        <w:t xml:space="preserve">(which jobs run in which</w:t>
      </w:r>
      <w:r>
        <w:t xml:space="preserve"> </w:t>
      </w:r>
      <w:r>
        <w:t xml:space="preserve">“</w:t>
      </w:r>
      <w:r>
        <w:t xml:space="preserve">wave</w:t>
      </w:r>
      <w:r>
        <w:t xml:space="preserve">”</w:t>
      </w:r>
      <w:r>
        <w:t xml:space="preserve">)</w:t>
      </w:r>
    </w:p>
    <w:p>
      <w:pPr>
        <w:numPr>
          <w:ilvl w:val="0"/>
          <w:numId w:val="1085"/>
        </w:numPr>
        <w:pStyle w:val="Compact"/>
      </w:pPr>
      <w:r>
        <w:rPr>
          <w:b/>
        </w:rPr>
        <w:t xml:space="preserve">Estimated runtime</w:t>
      </w:r>
      <w:r>
        <w:t xml:space="preserve"> </w:t>
      </w:r>
      <w:r>
        <w:t xml:space="preserve">(total time after parallelization)</w:t>
      </w:r>
    </w:p>
    <w:p>
      <w:pPr>
        <w:numPr>
          <w:ilvl w:val="0"/>
          <w:numId w:val="1085"/>
        </w:numPr>
        <w:pStyle w:val="Compact"/>
      </w:pPr>
      <w:r>
        <w:rPr>
          <w:b/>
        </w:rPr>
        <w:t xml:space="preserve">Risk mitigation</w:t>
      </w:r>
      <w:r>
        <w:t xml:space="preserve"> </w:t>
      </w:r>
      <w:r>
        <w:t xml:space="preserve">(what happens if a job fails in a parallel wave)</w:t>
      </w:r>
    </w:p>
    <w:p>
      <w:pPr>
        <w:pStyle w:val="FirstParagraph"/>
      </w:pPr>
      <w:r>
        <w:rPr>
          <w:b/>
        </w:rPr>
        <w:t xml:space="preserve">Answer framework:</w:t>
      </w:r>
    </w:p>
    <w:p>
      <w:pPr>
        <w:pStyle w:val="BodyText"/>
      </w:pPr>
      <w:r>
        <w:rPr>
          <w:b/>
        </w:rPr>
        <w:t xml:space="preserve">Parallel waves:</w:t>
      </w:r>
    </w:p>
    <w:p>
      <w:pPr>
        <w:numPr>
          <w:ilvl w:val="0"/>
          <w:numId w:val="1086"/>
        </w:numPr>
        <w:pStyle w:val="Compact"/>
      </w:pPr>
      <w:r>
        <w:rPr>
          <w:b/>
        </w:rPr>
        <w:t xml:space="preserve">Wave 1 (0–45 min):</w:t>
      </w:r>
      <w:r>
        <w:t xml:space="preserve"> </w:t>
      </w:r>
      <w:r>
        <w:t xml:space="preserve">DLYACC (45 min) + MRKTVAL (40 min parallel)</w:t>
      </w:r>
    </w:p>
    <w:p>
      <w:pPr>
        <w:numPr>
          <w:ilvl w:val="0"/>
          <w:numId w:val="1086"/>
        </w:numPr>
        <w:pStyle w:val="Compact"/>
      </w:pPr>
      <w:r>
        <w:rPr>
          <w:b/>
        </w:rPr>
        <w:t xml:space="preserve">Wave 2 (45–75 min):</w:t>
      </w:r>
      <w:r>
        <w:t xml:space="preserve"> </w:t>
      </w:r>
      <w:r>
        <w:t xml:space="preserve">ACINT (30 min) runs after DLYACC completes</w:t>
      </w:r>
    </w:p>
    <w:p>
      <w:pPr>
        <w:numPr>
          <w:ilvl w:val="0"/>
          <w:numId w:val="1086"/>
        </w:numPr>
        <w:pStyle w:val="Compact"/>
      </w:pPr>
      <w:r>
        <w:rPr>
          <w:b/>
        </w:rPr>
        <w:t xml:space="preserve">Wave 3 (75–120 min):</w:t>
      </w:r>
      <w:r>
        <w:t xml:space="preserve"> </w:t>
      </w:r>
      <w:r>
        <w:t xml:space="preserve">FEEPRO (20 min) + INTAXC (25 min parallel) both depend on ACINT; INTAXC can start independently</w:t>
      </w:r>
    </w:p>
    <w:p>
      <w:pPr>
        <w:numPr>
          <w:ilvl w:val="0"/>
          <w:numId w:val="1086"/>
        </w:numPr>
        <w:pStyle w:val="Compact"/>
      </w:pPr>
      <w:r>
        <w:rPr>
          <w:b/>
        </w:rPr>
        <w:t xml:space="preserve">Wave 4 (120–135 min):</w:t>
      </w:r>
      <w:r>
        <w:t xml:space="preserve"> </w:t>
      </w:r>
      <w:r>
        <w:t xml:space="preserve">LEDGER (15 min) depends on FEEPRO</w:t>
      </w:r>
    </w:p>
    <w:p>
      <w:pPr>
        <w:numPr>
          <w:ilvl w:val="0"/>
          <w:numId w:val="1086"/>
        </w:numPr>
        <w:pStyle w:val="Compact"/>
      </w:pPr>
      <w:r>
        <w:rPr>
          <w:b/>
        </w:rPr>
        <w:t xml:space="preserve">Wave 5 (135–165 min):</w:t>
      </w:r>
      <w:r>
        <w:t xml:space="preserve"> </w:t>
      </w:r>
      <w:r>
        <w:t xml:space="preserve">REPORT (30 min) depends on LEDGER + INTAXC (INTAXC finishes at ~100 min, LEDGER finishes at 135 min, so REPORT can start at 135)</w:t>
      </w:r>
    </w:p>
    <w:p>
      <w:pPr>
        <w:numPr>
          <w:ilvl w:val="0"/>
          <w:numId w:val="1086"/>
        </w:numPr>
        <w:pStyle w:val="Compact"/>
      </w:pPr>
      <w:r>
        <w:rPr>
          <w:b/>
        </w:rPr>
        <w:t xml:space="preserve">Wave 6 (165–185 min):</w:t>
      </w:r>
      <w:r>
        <w:t xml:space="preserve"> </w:t>
      </w:r>
      <w:r>
        <w:t xml:space="preserve">ARCHIVE (20 min)</w:t>
      </w:r>
    </w:p>
    <w:p>
      <w:pPr>
        <w:numPr>
          <w:ilvl w:val="0"/>
          <w:numId w:val="1086"/>
        </w:numPr>
        <w:pStyle w:val="Compact"/>
      </w:pPr>
      <w:r>
        <w:rPr>
          <w:b/>
        </w:rPr>
        <w:t xml:space="preserve">Wave 7 (185–230 min):</w:t>
      </w:r>
      <w:r>
        <w:t xml:space="preserve"> </w:t>
      </w:r>
      <w:r>
        <w:t xml:space="preserve">BACKUP (45 min)</w:t>
      </w:r>
    </w:p>
    <w:p>
      <w:pPr>
        <w:numPr>
          <w:ilvl w:val="0"/>
          <w:numId w:val="1086"/>
        </w:numPr>
        <w:pStyle w:val="Compact"/>
      </w:pPr>
      <w:r>
        <w:rPr>
          <w:b/>
        </w:rPr>
        <w:t xml:space="preserve">Wave 8 (230–240 min):</w:t>
      </w:r>
      <w:r>
        <w:t xml:space="preserve"> </w:t>
      </w:r>
      <w:r>
        <w:t xml:space="preserve">MAILRPT (10 min)</w:t>
      </w:r>
    </w:p>
    <w:p>
      <w:pPr>
        <w:pStyle w:val="FirstParagraph"/>
      </w:pPr>
      <w:r>
        <w:rPr>
          <w:b/>
        </w:rPr>
        <w:t xml:space="preserve">Critical path:</w:t>
      </w:r>
      <w:r>
        <w:t xml:space="preserve"> </w:t>
      </w:r>
      <w:r>
        <w:t xml:space="preserve">DLYACC (45) → ACINT (30) → FEEPRO (20) → LEDGER (15) → REPORT (30) → ARCHIVE (20) → BACKUP (45) → MAILRPT (10) =</w:t>
      </w:r>
      <w:r>
        <w:t xml:space="preserve"> </w:t>
      </w:r>
      <w:r>
        <w:rPr>
          <w:b/>
        </w:rPr>
        <w:t xml:space="preserve">215 minutes</w:t>
      </w:r>
      <w:r>
        <w:t xml:space="preserve"> </w:t>
      </w:r>
      <w:r>
        <w:t xml:space="preserve">(3.58 hours)</w:t>
      </w:r>
    </w:p>
    <w:p>
      <w:pPr>
        <w:pStyle w:val="BodyText"/>
      </w:pPr>
      <w:r>
        <w:rPr>
          <w:b/>
        </w:rPr>
        <w:t xml:space="preserve">Dependencies (DAG):</w:t>
      </w:r>
    </w:p>
    <w:p>
      <w:pPr>
        <w:pStyle w:val="SourceCode"/>
      </w:pPr>
      <w:r>
        <w:rPr>
          <w:rStyle w:val="VerbatimChar"/>
        </w:rPr>
        <w:t xml:space="preserve">          DLYACC ──────────┐</w:t>
      </w:r>
      <w:r>
        <w:br/>
      </w:r>
      <w:r>
        <w:rPr>
          <w:rStyle w:val="VerbatimChar"/>
        </w:rPr>
        <w:t xml:space="preserve">          (45)         ┌────────┬─────────────────┐</w:t>
      </w:r>
      <w:r>
        <w:br/>
      </w:r>
      <w:r>
        <w:rPr>
          <w:rStyle w:val="VerbatimChar"/>
        </w:rPr>
        <w:t xml:space="preserve">                       │        │                 │</w:t>
      </w:r>
      <w:r>
        <w:br/>
      </w:r>
      <w:r>
        <w:rPr>
          <w:rStyle w:val="VerbatimChar"/>
        </w:rPr>
        <w:t xml:space="preserve">                   ACINT    MRKTVAL           (split paths)</w:t>
      </w:r>
      <w:r>
        <w:br/>
      </w:r>
      <w:r>
        <w:rPr>
          <w:rStyle w:val="VerbatimChar"/>
        </w:rPr>
        <w:t xml:space="preserve">                   (30)     (40)</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FEEPRO    INTAXC    (later paths)</w:t>
      </w:r>
      <w:r>
        <w:br/>
      </w:r>
      <w:r>
        <w:rPr>
          <w:rStyle w:val="VerbatimChar"/>
        </w:rPr>
        <w:t xml:space="preserve">          (20)      (25)</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LEDGER (wait for both)</w:t>
      </w:r>
      <w:r>
        <w:br/>
      </w:r>
      <w:r>
        <w:rPr>
          <w:rStyle w:val="VerbatimChar"/>
        </w:rPr>
        <w:t xml:space="preserve">          (15)   │</w:t>
      </w:r>
      <w:r>
        <w:br/>
      </w:r>
      <w:r>
        <w:rPr>
          <w:rStyle w:val="VerbatimChar"/>
        </w:rPr>
        <w:t xml:space="preserve">            │    │</w:t>
      </w:r>
      <w:r>
        <w:br/>
      </w:r>
      <w:r>
        <w:rPr>
          <w:rStyle w:val="VerbatimChar"/>
        </w:rPr>
        <w:t xml:space="preserve">            └────┴─→ REPORT</w:t>
      </w:r>
      <w:r>
        <w:br/>
      </w:r>
      <w:r>
        <w:rPr>
          <w:rStyle w:val="VerbatimChar"/>
        </w:rPr>
        <w:t xml:space="preserve">                    (30)</w:t>
      </w:r>
      <w:r>
        <w:br/>
      </w:r>
      <w:r>
        <w:rPr>
          <w:rStyle w:val="VerbatimChar"/>
        </w:rPr>
        <w:t xml:space="preserve">                     │</w:t>
      </w:r>
      <w:r>
        <w:br/>
      </w:r>
      <w:r>
        <w:rPr>
          <w:rStyle w:val="VerbatimChar"/>
        </w:rPr>
        <w:t xml:space="preserve">                  ARCHIVE</w:t>
      </w:r>
      <w:r>
        <w:br/>
      </w:r>
      <w:r>
        <w:rPr>
          <w:rStyle w:val="VerbatimChar"/>
        </w:rPr>
        <w:t xml:space="preserve">                  (20)</w:t>
      </w:r>
      <w:r>
        <w:br/>
      </w:r>
      <w:r>
        <w:rPr>
          <w:rStyle w:val="VerbatimChar"/>
        </w:rPr>
        <w:t xml:space="preserve">                     │</w:t>
      </w:r>
      <w:r>
        <w:br/>
      </w:r>
      <w:r>
        <w:rPr>
          <w:rStyle w:val="VerbatimChar"/>
        </w:rPr>
        <w:t xml:space="preserve">                  BACKUP</w:t>
      </w:r>
      <w:r>
        <w:br/>
      </w:r>
      <w:r>
        <w:rPr>
          <w:rStyle w:val="VerbatimChar"/>
        </w:rPr>
        <w:t xml:space="preserve">                  (45)</w:t>
      </w:r>
      <w:r>
        <w:br/>
      </w:r>
      <w:r>
        <w:rPr>
          <w:rStyle w:val="VerbatimChar"/>
        </w:rPr>
        <w:t xml:space="preserve">                     │</w:t>
      </w:r>
      <w:r>
        <w:br/>
      </w:r>
      <w:r>
        <w:rPr>
          <w:rStyle w:val="VerbatimChar"/>
        </w:rPr>
        <w:t xml:space="preserve">                  MAILRPT</w:t>
      </w:r>
      <w:r>
        <w:br/>
      </w:r>
      <w:r>
        <w:rPr>
          <w:rStyle w:val="VerbatimChar"/>
        </w:rPr>
        <w:t xml:space="preserve">                  (10)</w:t>
      </w:r>
    </w:p>
    <w:p>
      <w:pPr>
        <w:pStyle w:val="FirstParagraph"/>
      </w:pPr>
      <w:r>
        <w:rPr>
          <w:b/>
        </w:rPr>
        <w:t xml:space="preserve">Risk mitigation:</w:t>
      </w:r>
    </w:p>
    <w:p>
      <w:pPr>
        <w:numPr>
          <w:ilvl w:val="0"/>
          <w:numId w:val="1087"/>
        </w:numPr>
        <w:pStyle w:val="Compact"/>
      </w:pPr>
      <w:r>
        <w:t xml:space="preserve">If DLYACC fails, abort the batch (it is a prerequisite for all account processing).</w:t>
      </w:r>
    </w:p>
    <w:p>
      <w:pPr>
        <w:numPr>
          <w:ilvl w:val="0"/>
          <w:numId w:val="1087"/>
        </w:numPr>
        <w:pStyle w:val="Compact"/>
      </w:pPr>
      <w:r>
        <w:t xml:space="preserve">If MRKTVAL fails, allow ACINT to proceed (MRKTVAL is parallel but independent of the critical path).</w:t>
      </w:r>
    </w:p>
    <w:p>
      <w:pPr>
        <w:numPr>
          <w:ilvl w:val="0"/>
          <w:numId w:val="1087"/>
        </w:numPr>
        <w:pStyle w:val="Compact"/>
      </w:pPr>
      <w:r>
        <w:t xml:space="preserve">If ACINT fails, abort (it is critical).</w:t>
      </w:r>
    </w:p>
    <w:p>
      <w:pPr>
        <w:numPr>
          <w:ilvl w:val="0"/>
          <w:numId w:val="1087"/>
        </w:numPr>
        <w:pStyle w:val="Compact"/>
      </w:pPr>
      <w:r>
        <w:t xml:space="preserve">If FEEPRO fails, retry up to 2 times before aborting.</w:t>
      </w:r>
    </w:p>
    <w:p>
      <w:pPr>
        <w:numPr>
          <w:ilvl w:val="0"/>
          <w:numId w:val="1087"/>
        </w:numPr>
        <w:pStyle w:val="Compact"/>
      </w:pPr>
      <w:r>
        <w:t xml:space="preserve">If INTAXC fails, allow REPORT to proceed if LEDGER is complete (INTAXC is a dependency, but failure may be non-blocking depending on business rules).</w:t>
      </w:r>
    </w:p>
    <w:p>
      <w:pPr>
        <w:pStyle w:val="FirstParagraph"/>
      </w:pPr>
      <w:r>
        <w:rPr>
          <w:b/>
        </w:rPr>
        <w:t xml:space="preserve">Full rubric:</w:t>
      </w:r>
    </w:p>
    <w:p>
      <w:pPr>
        <w:numPr>
          <w:ilvl w:val="0"/>
          <w:numId w:val="1088"/>
        </w:numPr>
        <w:pStyle w:val="Compact"/>
      </w:pPr>
      <w:r>
        <w:rPr>
          <w:b/>
        </w:rPr>
        <w:t xml:space="preserve">Excellent (10 pts):</w:t>
      </w:r>
      <w:r>
        <w:t xml:space="preserve"> </w:t>
      </w:r>
      <w:r>
        <w:t xml:space="preserve">Correctly identifies critical path, at least 3 parallel waves, estimated time ~215–240 min (3.5–4 hours), proper risk mitigation</w:t>
      </w:r>
    </w:p>
    <w:p>
      <w:pPr>
        <w:numPr>
          <w:ilvl w:val="0"/>
          <w:numId w:val="1088"/>
        </w:numPr>
        <w:pStyle w:val="Compact"/>
      </w:pPr>
      <w:r>
        <w:rPr>
          <w:b/>
        </w:rPr>
        <w:t xml:space="preserve">Good (8–9 pts):</w:t>
      </w:r>
      <w:r>
        <w:t xml:space="preserve"> </w:t>
      </w:r>
      <w:r>
        <w:t xml:space="preserve">Identifies critical path and 2+ parallel waves; time estimate ~240–300 min (4–5 hours)</w:t>
      </w:r>
    </w:p>
    <w:p>
      <w:pPr>
        <w:numPr>
          <w:ilvl w:val="0"/>
          <w:numId w:val="1088"/>
        </w:numPr>
        <w:pStyle w:val="Compact"/>
      </w:pPr>
      <w:r>
        <w:rPr>
          <w:b/>
        </w:rPr>
        <w:t xml:space="preserve">Adequate (6–7 pts):</w:t>
      </w:r>
      <w:r>
        <w:t xml:space="preserve"> </w:t>
      </w:r>
      <w:r>
        <w:t xml:space="preserve">Identifies some parallel opportunity but misses critical-path optimization; time ~300+ min</w:t>
      </w:r>
    </w:p>
    <w:p>
      <w:pPr>
        <w:numPr>
          <w:ilvl w:val="0"/>
          <w:numId w:val="1088"/>
        </w:numPr>
        <w:pStyle w:val="Compact"/>
      </w:pPr>
      <w:r>
        <w:rPr>
          <w:b/>
        </w:rPr>
        <w:t xml:space="preserve">Poor (&lt; 6 pts):</w:t>
      </w:r>
      <w:r>
        <w:t xml:space="preserve"> </w:t>
      </w:r>
      <w:r>
        <w:t xml:space="preserve">No parallelization strategy; assumes serial execution</w:t>
      </w:r>
    </w:p>
    <w:p>
      <w:pPr>
        <w:pStyle w:val="FirstParagraph"/>
      </w:pPr>
      <w:r>
        <w:rPr>
          <w:b/>
        </w:rPr>
        <w:t xml:space="preserve">watermark_seed:</w:t>
      </w:r>
      <w:r>
        <w:t xml:space="preserve"> </w:t>
      </w:r>
      <w:r>
        <w:t xml:space="preserve">qorium-fncflx-v0.6-038-seed-9b2c1a7d</w:t>
      </w:r>
      <w:r>
        <w:br/>
      </w:r>
      <w:r>
        <w:rPr>
          <w:b/>
        </w:rPr>
        <w:t xml:space="preserve">variant_seed:</w:t>
      </w:r>
      <w:r>
        <w:t xml:space="preserve"> </w:t>
      </w:r>
      <w:r>
        <w:t xml:space="preserve">qorium-fncflx-v0.6-2026-05-03-038</w:t>
      </w:r>
      <w:r>
        <w:br/>
      </w:r>
      <w:r>
        <w:rPr>
          <w:b/>
        </w:rPr>
        <w:t xml:space="preserve">bias_check_notes:</w:t>
      </w:r>
      <w:r>
        <w:t xml:space="preserve"> </w:t>
      </w:r>
      <w:r>
        <w:t xml:space="preserve">No bias. Batch scheduling and DAG optimization are universal BFSI practices; Finacle-specific application.</w:t>
      </w:r>
    </w:p>
    <w:p>
      <w:r>
        <w:pict>
          <v:rect style="width:0;height:1.5pt" o:hralign="center" o:hrstd="t" o:hr="t"/>
        </w:pict>
      </w:r>
    </w:p>
    <w:p>
      <w:pPr>
        <w:pStyle w:val="Heading2"/>
      </w:pPr>
      <w:bookmarkStart w:id="44" w:name="X19335d4344dc4b4b311e0452418823e25293651"/>
      <w:r>
        <w:t xml:space="preserve">SECTION 6: MODERNIZATION + CLOUD (2 questions)</w:t>
      </w:r>
      <w:bookmarkEnd w:id="44"/>
    </w:p>
    <w:p>
      <w:r>
        <w:pict>
          <v:rect style="width:0;height:1.5pt" o:hralign="center" o:hrstd="t" o:hr="t"/>
        </w:pict>
      </w:r>
    </w:p>
    <w:p>
      <w:pPr>
        <w:pStyle w:val="Heading3"/>
      </w:pPr>
      <w:bookmarkStart w:id="45" w:name="Xb1be7c972bc857c3b7c096d99e52d8e1593551d"/>
      <w:r>
        <w:t xml:space="preserve">QUESTION 39: Finacle Cloud Migration (FCO) — Parallel-Run + Rollback Strategy (Design Question)</w:t>
      </w:r>
      <w:bookmarkEnd w:id="45"/>
    </w:p>
    <w:p>
      <w:pPr>
        <w:pStyle w:val="FirstParagraph"/>
      </w:pPr>
      <w:r>
        <w:rPr>
          <w:b/>
        </w:rPr>
        <w:t xml:space="preserve">question_id:</w:t>
      </w:r>
      <w:r>
        <w:t xml:space="preserve"> </w:t>
      </w:r>
      <w:r>
        <w:t xml:space="preserve">QOR-FNCFLX-039</w:t>
      </w:r>
      <w:r>
        <w:br/>
      </w:r>
      <w:r>
        <w:rPr>
          <w:b/>
        </w:rPr>
        <w:t xml:space="preserve">skill_id:</w:t>
      </w:r>
      <w:r>
        <w:t xml:space="preserve"> </w:t>
      </w:r>
      <w:r>
        <w:t xml:space="preserve">senior-finacle-flexcube</w:t>
      </w:r>
      <w:r>
        <w:br/>
      </w:r>
      <w:r>
        <w:rPr>
          <w:b/>
        </w:rPr>
        <w:t xml:space="preserve">sub_skill_id:</w:t>
      </w:r>
      <w:r>
        <w:t xml:space="preserve"> </w:t>
      </w:r>
      <w:r>
        <w:t xml:space="preserve">modernization-cloud-fco</w:t>
      </w:r>
      <w:r>
        <w:br/>
      </w:r>
      <w:r>
        <w:rPr>
          <w:b/>
        </w:rPr>
        <w:t xml:space="preserve">format:</w:t>
      </w:r>
      <w:r>
        <w:t xml:space="preserve"> </w:t>
      </w:r>
      <w:r>
        <w:t xml:space="preserve">Design</w:t>
      </w:r>
      <w:r>
        <w:br/>
      </w:r>
      <w:r>
        <w:rPr>
          <w:b/>
        </w:rPr>
        <w:t xml:space="preserve">difficulty_b:</w:t>
      </w:r>
      <w:r>
        <w:t xml:space="preserve"> </w:t>
      </w:r>
      <w:r>
        <w:t xml:space="preserve">0.8 (Hard)</w:t>
      </w:r>
      <w:r>
        <w:br/>
      </w:r>
      <w:r>
        <w:rPr>
          <w:b/>
        </w:rPr>
        <w:t xml:space="preserve">discrimination_a:</w:t>
      </w:r>
      <w:r>
        <w:t xml:space="preserve"> </w:t>
      </w:r>
      <w:r>
        <w:t xml:space="preserve">1.6</w:t>
      </w:r>
      <w:r>
        <w:br/>
      </w:r>
      <w:r>
        <w:rPr>
          <w:b/>
        </w:rPr>
        <w:t xml:space="preserve">expected_duration_minutes:</w:t>
      </w:r>
      <w:r>
        <w:t xml:space="preserve"> </w:t>
      </w:r>
      <w:r>
        <w:t xml:space="preserve">15</w:t>
      </w:r>
      <w:r>
        <w:br/>
      </w:r>
      <w:r>
        <w:rPr>
          <w:b/>
        </w:rPr>
        <w:t xml:space="preserve">citation:</w:t>
      </w:r>
      <w:r>
        <w:t xml:space="preserve"> </w:t>
      </w:r>
      <w:r>
        <w:t xml:space="preserve">Infosys Finacle Cloud Migration (FCO) Guide; AWS/Azure BFSI Migration Best Practices; RBI Guidelines on IT Infrastructure Outsourcing (BCBS 244)</w:t>
      </w:r>
    </w:p>
    <w:p>
      <w:pPr>
        <w:pStyle w:val="BodyText"/>
      </w:pPr>
      <w:r>
        <w:rPr>
          <w:b/>
        </w:rPr>
        <w:t xml:space="preserve">body:</w:t>
      </w:r>
    </w:p>
    <w:p>
      <w:pPr>
        <w:pStyle w:val="BodyText"/>
      </w:pPr>
      <w:r>
        <w:rPr>
          <w:b/>
        </w:rPr>
        <w:t xml:space="preserve">Scenario:</w:t>
      </w:r>
    </w:p>
    <w:p>
      <w:pPr>
        <w:pStyle w:val="BodyText"/>
      </w:pPr>
      <w:r>
        <w:t xml:space="preserve">A Tier-1 PSU bank with 100M+ retail customers on</w:t>
      </w:r>
      <w:r>
        <w:t xml:space="preserve"> </w:t>
      </w:r>
      <w:r>
        <w:rPr>
          <w:b/>
        </w:rPr>
        <w:t xml:space="preserve">on-premise Finacle 10.x</w:t>
      </w:r>
      <w:r>
        <w:t xml:space="preserve"> </w:t>
      </w:r>
      <w:r>
        <w:t xml:space="preserve">(legacy, end-of-support) plans a</w:t>
      </w:r>
      <w:r>
        <w:t xml:space="preserve"> </w:t>
      </w:r>
      <w:r>
        <w:rPr>
          <w:b/>
        </w:rPr>
        <w:t xml:space="preserve">24-month migration to Finacle Cloud (FCO)</w:t>
      </w:r>
      <w:r>
        <w:t xml:space="preserve"> </w:t>
      </w:r>
      <w:r>
        <w:t xml:space="preserve">on AWS or Oracle Cloud Infrastructure (OCI). Current daily transaction volume: 50M transactions. The migration must be</w:t>
      </w:r>
      <w:r>
        <w:t xml:space="preserve"> </w:t>
      </w:r>
      <w:r>
        <w:rPr>
          <w:b/>
        </w:rPr>
        <w:t xml:space="preserve">zero-downtime</w:t>
      </w:r>
      <w:r>
        <w:t xml:space="preserve"> </w:t>
      </w:r>
      <w:r>
        <w:t xml:space="preserve">(no customer-facing outage). Parallel-run with both on-premise and cloud systems is mandatory.</w:t>
      </w:r>
    </w:p>
    <w:p>
      <w:pPr>
        <w:pStyle w:val="BodyText"/>
      </w:pPr>
      <w:r>
        <w:rPr>
          <w:b/>
        </w:rPr>
        <w:t xml:space="preserve">Design a comprehensive migration strategy that covers:</w:t>
      </w:r>
    </w:p>
    <w:p>
      <w:pPr>
        <w:numPr>
          <w:ilvl w:val="0"/>
          <w:numId w:val="1089"/>
        </w:numPr>
        <w:pStyle w:val="Compact"/>
      </w:pPr>
      <w:r>
        <w:rPr>
          <w:b/>
        </w:rPr>
        <w:t xml:space="preserve">Phase 1: Readiness &amp; Infrastructure (Months 1–3)</w:t>
      </w:r>
    </w:p>
    <w:p>
      <w:pPr>
        <w:numPr>
          <w:ilvl w:val="1"/>
          <w:numId w:val="1090"/>
        </w:numPr>
        <w:pStyle w:val="Compact"/>
      </w:pPr>
      <w:r>
        <w:t xml:space="preserve">Database sizing for cloud (₹100M+ daily transactions + capacity for 24-month growth projection)</w:t>
      </w:r>
    </w:p>
    <w:p>
      <w:pPr>
        <w:numPr>
          <w:ilvl w:val="1"/>
          <w:numId w:val="1090"/>
        </w:numPr>
        <w:pStyle w:val="Compact"/>
      </w:pPr>
      <w:r>
        <w:t xml:space="preserve">Network architecture (on-premise ↔ cloud data sync, API gateway, load balancer)</w:t>
      </w:r>
    </w:p>
    <w:p>
      <w:pPr>
        <w:numPr>
          <w:ilvl w:val="1"/>
          <w:numId w:val="1090"/>
        </w:numPr>
        <w:pStyle w:val="Compact"/>
      </w:pPr>
      <w:r>
        <w:t xml:space="preserve">RTO/RPO requirements per RBI IT Outsourcing Guidelines</w:t>
      </w:r>
    </w:p>
    <w:p>
      <w:pPr>
        <w:numPr>
          <w:ilvl w:val="1"/>
          <w:numId w:val="1090"/>
        </w:numPr>
        <w:pStyle w:val="Compact"/>
      </w:pPr>
      <w:r>
        <w:t xml:space="preserve">Security &amp; compliance framework (data residency, encryption, audit trail)</w:t>
      </w:r>
    </w:p>
    <w:p>
      <w:pPr>
        <w:numPr>
          <w:ilvl w:val="0"/>
          <w:numId w:val="1089"/>
        </w:numPr>
        <w:pStyle w:val="Compact"/>
      </w:pPr>
      <w:r>
        <w:rPr>
          <w:b/>
        </w:rPr>
        <w:t xml:space="preserve">Phase 2: Pilot &amp; Proof-of-Concept (Months 4–6)</w:t>
      </w:r>
    </w:p>
    <w:p>
      <w:pPr>
        <w:numPr>
          <w:ilvl w:val="1"/>
          <w:numId w:val="1091"/>
        </w:numPr>
        <w:pStyle w:val="Compact"/>
      </w:pPr>
      <w:r>
        <w:t xml:space="preserve">Cutover a subset of 5M customers to cloud; run parallel-run with on-premise</w:t>
      </w:r>
    </w:p>
    <w:p>
      <w:pPr>
        <w:numPr>
          <w:ilvl w:val="1"/>
          <w:numId w:val="1091"/>
        </w:numPr>
        <w:pStyle w:val="Compact"/>
      </w:pPr>
      <w:r>
        <w:t xml:space="preserve">Test transaction reconciliation (ensure zero-loss between on-premise and cloud)</w:t>
      </w:r>
    </w:p>
    <w:p>
      <w:pPr>
        <w:numPr>
          <w:ilvl w:val="1"/>
          <w:numId w:val="1091"/>
        </w:numPr>
        <w:pStyle w:val="Compact"/>
      </w:pPr>
      <w:r>
        <w:t xml:space="preserve">Validate data consistency, reporting accuracy, batch performance</w:t>
      </w:r>
    </w:p>
    <w:p>
      <w:pPr>
        <w:numPr>
          <w:ilvl w:val="0"/>
          <w:numId w:val="1089"/>
        </w:numPr>
        <w:pStyle w:val="Compact"/>
      </w:pPr>
      <w:r>
        <w:rPr>
          <w:b/>
        </w:rPr>
        <w:t xml:space="preserve">Phase 3: Phased Production Rollout (Months 7–18)</w:t>
      </w:r>
    </w:p>
    <w:p>
      <w:pPr>
        <w:numPr>
          <w:ilvl w:val="1"/>
          <w:numId w:val="1092"/>
        </w:numPr>
        <w:pStyle w:val="Compact"/>
      </w:pPr>
      <w:r>
        <w:t xml:space="preserve">Rollout strategy: progressive customer migration (5M → 20M → 50M → 100M)</w:t>
      </w:r>
    </w:p>
    <w:p>
      <w:pPr>
        <w:numPr>
          <w:ilvl w:val="1"/>
          <w:numId w:val="1092"/>
        </w:numPr>
        <w:pStyle w:val="Compact"/>
      </w:pPr>
      <w:r>
        <w:t xml:space="preserve">Dual-posting mechanism: customer transactions posted to both on-premise and cloud in real-time</w:t>
      </w:r>
    </w:p>
    <w:p>
      <w:pPr>
        <w:numPr>
          <w:ilvl w:val="1"/>
          <w:numId w:val="1092"/>
        </w:numPr>
        <w:pStyle w:val="Compact"/>
      </w:pPr>
      <w:r>
        <w:t xml:space="preserve">Reconciliation &amp; drift detection: automated daily reconciliation to identify ledger discrepancies</w:t>
      </w:r>
    </w:p>
    <w:p>
      <w:pPr>
        <w:numPr>
          <w:ilvl w:val="1"/>
          <w:numId w:val="1092"/>
        </w:numPr>
        <w:pStyle w:val="Compact"/>
      </w:pPr>
      <w:r>
        <w:t xml:space="preserve">Gradual cut-off: switch customers from on-premise to cloud (once validated for X days without drift)</w:t>
      </w:r>
    </w:p>
    <w:p>
      <w:pPr>
        <w:numPr>
          <w:ilvl w:val="0"/>
          <w:numId w:val="1089"/>
        </w:numPr>
        <w:pStyle w:val="Compact"/>
      </w:pPr>
      <w:r>
        <w:rPr>
          <w:b/>
        </w:rPr>
        <w:t xml:space="preserve">Phase 4: Rollback Plan (Throughout, &amp; Final Decommission)</w:t>
      </w:r>
    </w:p>
    <w:p>
      <w:pPr>
        <w:numPr>
          <w:ilvl w:val="1"/>
          <w:numId w:val="1093"/>
        </w:numPr>
        <w:pStyle w:val="Compact"/>
      </w:pPr>
      <w:r>
        <w:t xml:space="preserve">If cloud-side issue detected, automatic fallback to on-premise (&lt; 5 min RTO)</w:t>
      </w:r>
    </w:p>
    <w:p>
      <w:pPr>
        <w:numPr>
          <w:ilvl w:val="1"/>
          <w:numId w:val="1093"/>
        </w:numPr>
        <w:pStyle w:val="Compact"/>
      </w:pPr>
      <w:r>
        <w:t xml:space="preserve">Rollback trigger criteria (data corruption, regulatory non-compliance, SLA breach)</w:t>
      </w:r>
    </w:p>
    <w:p>
      <w:pPr>
        <w:numPr>
          <w:ilvl w:val="1"/>
          <w:numId w:val="1093"/>
        </w:numPr>
        <w:pStyle w:val="Compact"/>
      </w:pPr>
      <w:r>
        <w:t xml:space="preserve">Decommission on-premise systems only after 30 days of cloud-only operation + RBI sign-off</w:t>
      </w:r>
    </w:p>
    <w:p>
      <w:pPr>
        <w:pStyle w:val="FirstParagraph"/>
      </w:pPr>
      <w:r>
        <w:rPr>
          <w:b/>
        </w:rPr>
        <w:t xml:space="preserve">Expected answer elements:</w:t>
      </w:r>
    </w:p>
    <w:p>
      <w:pPr>
        <w:numPr>
          <w:ilvl w:val="0"/>
          <w:numId w:val="1094"/>
        </w:numPr>
        <w:pStyle w:val="Compact"/>
      </w:pPr>
      <w:r>
        <w:rPr>
          <w:b/>
        </w:rPr>
        <w:t xml:space="preserve">Infrastructure Design:</w:t>
      </w:r>
    </w:p>
    <w:p>
      <w:pPr>
        <w:numPr>
          <w:ilvl w:val="1"/>
          <w:numId w:val="1095"/>
        </w:numPr>
        <w:pStyle w:val="Compact"/>
      </w:pPr>
      <w:r>
        <w:t xml:space="preserve">Cloud database: PostgreSQL/Oracle, multi-AZ setup, replicated to backup region</w:t>
      </w:r>
    </w:p>
    <w:p>
      <w:pPr>
        <w:numPr>
          <w:ilvl w:val="1"/>
          <w:numId w:val="1095"/>
        </w:numPr>
        <w:pStyle w:val="Compact"/>
      </w:pPr>
      <w:r>
        <w:t xml:space="preserve">Network: Site-to-Site VPN or AWS Direct Connect (low-latency, high-bandwidth sync)</w:t>
      </w:r>
    </w:p>
    <w:p>
      <w:pPr>
        <w:numPr>
          <w:ilvl w:val="1"/>
          <w:numId w:val="1095"/>
        </w:numPr>
        <w:pStyle w:val="Compact"/>
      </w:pPr>
      <w:r>
        <w:t xml:space="preserve">API Gateway (Kong/Apigee): route transactions to on-premise and cloud in parallel</w:t>
      </w:r>
    </w:p>
    <w:p>
      <w:pPr>
        <w:numPr>
          <w:ilvl w:val="1"/>
          <w:numId w:val="1095"/>
        </w:numPr>
        <w:pStyle w:val="Compact"/>
      </w:pPr>
      <w:r>
        <w:t xml:space="preserve">RTO: 1 hour; RPO: 5 minutes (per RBI BCBS 244 guidelines for Tier-1 banks)</w:t>
      </w:r>
    </w:p>
    <w:p>
      <w:pPr>
        <w:numPr>
          <w:ilvl w:val="0"/>
          <w:numId w:val="1094"/>
        </w:numPr>
        <w:pStyle w:val="Compact"/>
      </w:pPr>
      <w:r>
        <w:rPr>
          <w:b/>
        </w:rPr>
        <w:t xml:space="preserve">Pilot Phase (5M customers):</w:t>
      </w:r>
    </w:p>
    <w:p>
      <w:pPr>
        <w:numPr>
          <w:ilvl w:val="1"/>
          <w:numId w:val="1096"/>
        </w:numPr>
        <w:pStyle w:val="Compact"/>
      </w:pPr>
      <w:r>
        <w:t xml:space="preserve">Dedicated test customers in each geographic region (north, south, east, west)</w:t>
      </w:r>
    </w:p>
    <w:p>
      <w:pPr>
        <w:numPr>
          <w:ilvl w:val="1"/>
          <w:numId w:val="1096"/>
        </w:numPr>
        <w:pStyle w:val="Compact"/>
      </w:pPr>
      <w:r>
        <w:t xml:space="preserve">Daily reconciliation reports (₹ in, ₹ out, ledger balance drift, transaction latency)</w:t>
      </w:r>
    </w:p>
    <w:p>
      <w:pPr>
        <w:numPr>
          <w:ilvl w:val="1"/>
          <w:numId w:val="1096"/>
        </w:numPr>
        <w:pStyle w:val="Compact"/>
      </w:pPr>
      <w:r>
        <w:t xml:space="preserve">Run for minimum 45 days before expanding to next cohort</w:t>
      </w:r>
    </w:p>
    <w:p>
      <w:pPr>
        <w:numPr>
          <w:ilvl w:val="0"/>
          <w:numId w:val="1094"/>
        </w:numPr>
        <w:pStyle w:val="Compact"/>
      </w:pPr>
      <w:r>
        <w:rPr>
          <w:b/>
        </w:rPr>
        <w:t xml:space="preserve">Phased Rollout (4 cohorts: 5M, 20M, 50M, 100M):</w:t>
      </w:r>
    </w:p>
    <w:p>
      <w:pPr>
        <w:numPr>
          <w:ilvl w:val="1"/>
          <w:numId w:val="1097"/>
        </w:numPr>
        <w:pStyle w:val="Compact"/>
      </w:pPr>
      <w:r>
        <w:t xml:space="preserve">Each cohort: 45-day parallel-run + 7-day reconciliation hold before cut-off</w:t>
      </w:r>
    </w:p>
    <w:p>
      <w:pPr>
        <w:numPr>
          <w:ilvl w:val="1"/>
          <w:numId w:val="1097"/>
        </w:numPr>
        <w:pStyle w:val="Compact"/>
      </w:pPr>
      <w:r>
        <w:t xml:space="preserve">Dual-posting: all transactions post to both systems; cloud becomes primary on cut-off date</w:t>
      </w:r>
    </w:p>
    <w:p>
      <w:pPr>
        <w:numPr>
          <w:ilvl w:val="1"/>
          <w:numId w:val="1097"/>
        </w:numPr>
        <w:pStyle w:val="Compact"/>
      </w:pPr>
      <w:r>
        <w:t xml:space="preserve">Cut-off criteria: zero drift for 7 consecutive days + zero high-severity incidents</w:t>
      </w:r>
    </w:p>
    <w:p>
      <w:pPr>
        <w:numPr>
          <w:ilvl w:val="0"/>
          <w:numId w:val="1094"/>
        </w:numPr>
        <w:pStyle w:val="Compact"/>
      </w:pPr>
      <w:r>
        <w:rPr>
          <w:b/>
        </w:rPr>
        <w:t xml:space="preserve">Reconciliation &amp; Drift Detection:</w:t>
      </w:r>
    </w:p>
    <w:p>
      <w:pPr>
        <w:numPr>
          <w:ilvl w:val="1"/>
          <w:numId w:val="1098"/>
        </w:numPr>
        <w:pStyle w:val="Compact"/>
      </w:pPr>
      <w:r>
        <w:t xml:space="preserve">Nightly reconciliation batch: compare on-premise and cloud ledger balances (by account, by branch, by product)</w:t>
      </w:r>
    </w:p>
    <w:p>
      <w:pPr>
        <w:numPr>
          <w:ilvl w:val="1"/>
          <w:numId w:val="1098"/>
        </w:numPr>
        <w:pStyle w:val="Compact"/>
      </w:pPr>
      <w:r>
        <w:t xml:space="preserve">Drift threshold: any account with &gt; ₹100 discrepancy triggers investigation + escalation</w:t>
      </w:r>
    </w:p>
    <w:p>
      <w:pPr>
        <w:numPr>
          <w:ilvl w:val="1"/>
          <w:numId w:val="1098"/>
        </w:numPr>
        <w:pStyle w:val="Compact"/>
      </w:pPr>
      <w:r>
        <w:t xml:space="preserve">Automated remediation: retry failed transactions; manual review for persistent discrepancies</w:t>
      </w:r>
    </w:p>
    <w:p>
      <w:pPr>
        <w:numPr>
          <w:ilvl w:val="0"/>
          <w:numId w:val="1094"/>
        </w:numPr>
        <w:pStyle w:val="Compact"/>
      </w:pPr>
      <w:r>
        <w:rPr>
          <w:b/>
        </w:rPr>
        <w:t xml:space="preserve">Rollback Strategy:</w:t>
      </w:r>
    </w:p>
    <w:p>
      <w:pPr>
        <w:numPr>
          <w:ilvl w:val="1"/>
          <w:numId w:val="1099"/>
        </w:numPr>
        <w:pStyle w:val="Compact"/>
      </w:pPr>
      <w:r>
        <w:t xml:space="preserve">Automated failover: if cloud-side response time &gt; 10 sec, traffic reroutes to on-premise</w:t>
      </w:r>
    </w:p>
    <w:p>
      <w:pPr>
        <w:numPr>
          <w:ilvl w:val="1"/>
          <w:numId w:val="1099"/>
        </w:numPr>
        <w:pStyle w:val="Compact"/>
      </w:pPr>
      <w:r>
        <w:t xml:space="preserve">Manual rollback: if data corruption detected, revert cloud state to last-known-good snapshot (RPO: 5 min)</w:t>
      </w:r>
    </w:p>
    <w:p>
      <w:pPr>
        <w:numPr>
          <w:ilvl w:val="1"/>
          <w:numId w:val="1099"/>
        </w:numPr>
        <w:pStyle w:val="Compact"/>
      </w:pPr>
      <w:r>
        <w:t xml:space="preserve">Rollback triggers: (a) unplanned cloud downtime &gt; 30 min, (b) data integrity violation, (c) RBI regulatory issue</w:t>
      </w:r>
    </w:p>
    <w:p>
      <w:pPr>
        <w:numPr>
          <w:ilvl w:val="1"/>
          <w:numId w:val="1099"/>
        </w:numPr>
        <w:pStyle w:val="Compact"/>
      </w:pPr>
      <w:r>
        <w:t xml:space="preserve">Rollback execution: &lt; 5 min, validated with backup-restoration drill quarterly</w:t>
      </w:r>
    </w:p>
    <w:p>
      <w:pPr>
        <w:pStyle w:val="FirstParagraph"/>
      </w:pPr>
      <w:r>
        <w:rPr>
          <w:b/>
        </w:rPr>
        <w:t xml:space="preserve">Full rubric:</w:t>
      </w:r>
    </w:p>
    <w:p>
      <w:pPr>
        <w:numPr>
          <w:ilvl w:val="0"/>
          <w:numId w:val="1100"/>
        </w:numPr>
        <w:pStyle w:val="Compact"/>
      </w:pPr>
      <w:r>
        <w:rPr>
          <w:b/>
        </w:rPr>
        <w:t xml:space="preserve">Excellent (10 pts):</w:t>
      </w:r>
      <w:r>
        <w:t xml:space="preserve"> </w:t>
      </w:r>
      <w:r>
        <w:t xml:space="preserve">All 5 elements covered; RTO/RPO aligned with RBI guidelines; phased rollout with clear cut-off criteria; automated reconciliation + failover; realistic timelines (24 months)</w:t>
      </w:r>
    </w:p>
    <w:p>
      <w:pPr>
        <w:numPr>
          <w:ilvl w:val="0"/>
          <w:numId w:val="1100"/>
        </w:numPr>
        <w:pStyle w:val="Compact"/>
      </w:pPr>
      <w:r>
        <w:rPr>
          <w:b/>
        </w:rPr>
        <w:t xml:space="preserve">Good (8–9 pts):</w:t>
      </w:r>
      <w:r>
        <w:t xml:space="preserve"> </w:t>
      </w:r>
      <w:r>
        <w:t xml:space="preserve">4 elements covered; phased approach clear; reconciliation process defined; minor gaps in failover automation or regulatory alignment</w:t>
      </w:r>
    </w:p>
    <w:p>
      <w:pPr>
        <w:numPr>
          <w:ilvl w:val="0"/>
          <w:numId w:val="1100"/>
        </w:numPr>
        <w:pStyle w:val="Compact"/>
      </w:pPr>
      <w:r>
        <w:rPr>
          <w:b/>
        </w:rPr>
        <w:t xml:space="preserve">Adequate (6–7 pts):</w:t>
      </w:r>
      <w:r>
        <w:t xml:space="preserve"> </w:t>
      </w:r>
      <w:r>
        <w:t xml:space="preserve">3 elements; phased rollout identified; reconciliation mentioned but without detail; rollback plan vague</w:t>
      </w:r>
    </w:p>
    <w:p>
      <w:pPr>
        <w:numPr>
          <w:ilvl w:val="0"/>
          <w:numId w:val="1100"/>
        </w:numPr>
        <w:pStyle w:val="Compact"/>
      </w:pPr>
      <w:r>
        <w:rPr>
          <w:b/>
        </w:rPr>
        <w:t xml:space="preserve">Poor (&lt; 6 pts):</w:t>
      </w:r>
      <w:r>
        <w:t xml:space="preserve"> </w:t>
      </w:r>
      <w:r>
        <w:t xml:space="preserve">No phased strategy; assumes big-bang cutover; no reconciliation or rollback plan</w:t>
      </w:r>
    </w:p>
    <w:p>
      <w:pPr>
        <w:pStyle w:val="FirstParagraph"/>
      </w:pPr>
      <w:r>
        <w:rPr>
          <w:b/>
        </w:rPr>
        <w:t xml:space="preserve">watermark_seed:</w:t>
      </w:r>
      <w:r>
        <w:t xml:space="preserve"> </w:t>
      </w:r>
      <w:r>
        <w:t xml:space="preserve">qorium-fncflx-v0.6-039-seed-1e7f4c3a</w:t>
      </w:r>
      <w:r>
        <w:br/>
      </w:r>
      <w:r>
        <w:rPr>
          <w:b/>
        </w:rPr>
        <w:t xml:space="preserve">variant_seed:</w:t>
      </w:r>
      <w:r>
        <w:t xml:space="preserve"> </w:t>
      </w:r>
      <w:r>
        <w:t xml:space="preserve">qorium-fncflx-v0.6-2026-05-03-039</w:t>
      </w:r>
      <w:r>
        <w:br/>
      </w:r>
      <w:r>
        <w:rPr>
          <w:b/>
        </w:rPr>
        <w:t xml:space="preserve">bias_check_notes:</w:t>
      </w:r>
      <w:r>
        <w:t xml:space="preserve"> </w:t>
      </w:r>
      <w:r>
        <w:t xml:space="preserve">No bias. Cloud migration strategy is universal BFSI practice; RBI-regulatory alignment required for Indian banks.</w:t>
      </w:r>
    </w:p>
    <w:p>
      <w:r>
        <w:pict>
          <v:rect style="width:0;height:1.5pt" o:hralign="center" o:hrstd="t" o:hr="t"/>
        </w:pict>
      </w:r>
    </w:p>
    <w:p>
      <w:pPr>
        <w:pStyle w:val="Heading3"/>
      </w:pPr>
      <w:bookmarkStart w:id="46" w:name="X088182e420caaebbb2f11950e674b13c2603b26"/>
      <w:r>
        <w:t xml:space="preserve">QUESTION 40: Microservices + Core Banking Hybrid — Data Consistency Model (Case-Study Question)</w:t>
      </w:r>
      <w:bookmarkEnd w:id="46"/>
    </w:p>
    <w:p>
      <w:pPr>
        <w:pStyle w:val="FirstParagraph"/>
      </w:pPr>
      <w:r>
        <w:rPr>
          <w:b/>
        </w:rPr>
        <w:t xml:space="preserve">question_id:</w:t>
      </w:r>
      <w:r>
        <w:t xml:space="preserve"> </w:t>
      </w:r>
      <w:r>
        <w:t xml:space="preserve">QOR-FNCFLX-040</w:t>
      </w:r>
      <w:r>
        <w:br/>
      </w:r>
      <w:r>
        <w:rPr>
          <w:b/>
        </w:rPr>
        <w:t xml:space="preserve">skill_id:</w:t>
      </w:r>
      <w:r>
        <w:t xml:space="preserve"> </w:t>
      </w:r>
      <w:r>
        <w:t xml:space="preserve">senior-finacle-flexcube</w:t>
      </w:r>
      <w:r>
        <w:br/>
      </w:r>
      <w:r>
        <w:rPr>
          <w:b/>
        </w:rPr>
        <w:t xml:space="preserve">sub_skill_id:</w:t>
      </w:r>
      <w:r>
        <w:t xml:space="preserve"> </w:t>
      </w:r>
      <w:r>
        <w:t xml:space="preserve">modernization-microservices-hybrid</w:t>
      </w:r>
      <w:r>
        <w:br/>
      </w:r>
      <w:r>
        <w:rPr>
          <w:b/>
        </w:rPr>
        <w:t xml:space="preserve">format:</w:t>
      </w:r>
      <w:r>
        <w:t xml:space="preserve"> </w:t>
      </w:r>
      <w:r>
        <w:t xml:space="preserve">Case-Study</w:t>
      </w:r>
      <w:r>
        <w:br/>
      </w:r>
      <w:r>
        <w:rPr>
          <w:b/>
        </w:rPr>
        <w:t xml:space="preserve">difficulty_b:</w:t>
      </w:r>
      <w:r>
        <w:t xml:space="preserve"> </w:t>
      </w:r>
      <w:r>
        <w:t xml:space="preserve">0.85 (Very Hard)</w:t>
      </w:r>
      <w:r>
        <w:br/>
      </w:r>
      <w:r>
        <w:rPr>
          <w:b/>
        </w:rPr>
        <w:t xml:space="preserve">discrimination_a:</w:t>
      </w:r>
      <w:r>
        <w:t xml:space="preserve"> </w:t>
      </w:r>
      <w:r>
        <w:t xml:space="preserve">1.7</w:t>
      </w:r>
      <w:r>
        <w:br/>
      </w:r>
      <w:r>
        <w:rPr>
          <w:b/>
        </w:rPr>
        <w:t xml:space="preserve">expected_duration_minutes:</w:t>
      </w:r>
      <w:r>
        <w:t xml:space="preserve"> </w:t>
      </w:r>
      <w:r>
        <w:t xml:space="preserve">20</w:t>
      </w:r>
      <w:r>
        <w:br/>
      </w:r>
      <w:r>
        <w:rPr>
          <w:b/>
        </w:rPr>
        <w:t xml:space="preserve">citation:</w:t>
      </w:r>
      <w:r>
        <w:t xml:space="preserve"> </w:t>
      </w:r>
      <w:r>
        <w:t xml:space="preserve">Sam Newman</w:t>
      </w:r>
      <w:r>
        <w:t xml:space="preserve"> </w:t>
      </w:r>
      <w:r>
        <w:t xml:space="preserve">“</w:t>
      </w:r>
      <w:r>
        <w:t xml:space="preserve">Building Microservices</w:t>
      </w:r>
      <w:r>
        <w:t xml:space="preserve">”</w:t>
      </w:r>
      <w:r>
        <w:t xml:space="preserve"> </w:t>
      </w:r>
      <w:r>
        <w:t xml:space="preserve">(2015); Eric Evans</w:t>
      </w:r>
      <w:r>
        <w:t xml:space="preserve"> </w:t>
      </w:r>
      <w:r>
        <w:t xml:space="preserve">“</w:t>
      </w:r>
      <w:r>
        <w:t xml:space="preserve">Domain-Driven Design</w:t>
      </w:r>
      <w:r>
        <w:t xml:space="preserve">”</w:t>
      </w:r>
      <w:r>
        <w:t xml:space="preserve"> </w:t>
      </w:r>
      <w:r>
        <w:t xml:space="preserve">(2003); Finacle API Gateway Architecture; Apache Kafka documentation</w:t>
      </w:r>
    </w:p>
    <w:p>
      <w:pPr>
        <w:pStyle w:val="BodyText"/>
      </w:pPr>
      <w:r>
        <w:rPr>
          <w:b/>
        </w:rPr>
        <w:t xml:space="preserve">body:</w:t>
      </w:r>
    </w:p>
    <w:p>
      <w:pPr>
        <w:pStyle w:val="BodyText"/>
      </w:pPr>
      <w:r>
        <w:rPr>
          <w:b/>
        </w:rPr>
        <w:t xml:space="preserve">Scenario:</w:t>
      </w:r>
    </w:p>
    <w:p>
      <w:pPr>
        <w:pStyle w:val="BodyText"/>
      </w:pPr>
      <w:r>
        <w:t xml:space="preserve">A large Indian bank is executing a</w:t>
      </w:r>
      <w:r>
        <w:t xml:space="preserve"> </w:t>
      </w:r>
      <w:r>
        <w:rPr>
          <w:b/>
        </w:rPr>
        <w:t xml:space="preserve">hybrid modernization strategy</w:t>
      </w:r>
      <w:r>
        <w:t xml:space="preserve">: keep the core Finacle system as the system-of-record (SoR) for customer accounts, transaction ledger, and regulatory reporting. However, spin off</w:t>
      </w:r>
      <w:r>
        <w:t xml:space="preserve"> </w:t>
      </w:r>
      <w:r>
        <w:rPr>
          <w:b/>
        </w:rPr>
        <w:t xml:space="preserve">newer, high-velocity services</w:t>
      </w:r>
      <w:r>
        <w:t xml:space="preserve"> </w:t>
      </w:r>
      <w:r>
        <w:t xml:space="preserve">(real-time payments, API banking, machine-learning risk scoring) as independent microservices that integrate with Finacle via asynchronous events and eventual-consistency patterns.</w:t>
      </w:r>
    </w:p>
    <w:p>
      <w:pPr>
        <w:pStyle w:val="BodyText"/>
      </w:pPr>
      <w:r>
        <w:rPr>
          <w:b/>
        </w:rPr>
        <w:t xml:space="preserve">Problem Statement:</w:t>
      </w:r>
    </w:p>
    <w:p>
      <w:pPr>
        <w:pStyle w:val="BodyText"/>
      </w:pPr>
      <w:r>
        <w:t xml:space="preserve">A customer initiates a real-time NEFT (National Electronic Funds Transfer) payment for ₹10,000 to another bank. The flow:</w:t>
      </w:r>
    </w:p>
    <w:p>
      <w:pPr>
        <w:numPr>
          <w:ilvl w:val="0"/>
          <w:numId w:val="1101"/>
        </w:numPr>
        <w:pStyle w:val="Compact"/>
      </w:pPr>
      <w:r>
        <w:rPr>
          <w:b/>
        </w:rPr>
        <w:t xml:space="preserve">API Banking Microservice</w:t>
      </w:r>
      <w:r>
        <w:t xml:space="preserve"> </w:t>
      </w:r>
      <w:r>
        <w:t xml:space="preserve">receives the NEFT request and validates the customer balance (reads from a</w:t>
      </w:r>
      <w:r>
        <w:t xml:space="preserve"> </w:t>
      </w:r>
      <w:r>
        <w:rPr>
          <w:b/>
        </w:rPr>
        <w:t xml:space="preserve">read-only replica</w:t>
      </w:r>
      <w:r>
        <w:t xml:space="preserve"> </w:t>
      </w:r>
      <w:r>
        <w:t xml:space="preserve">of Finacle’s ledger, cached in Redis with a 30-second TTL).</w:t>
      </w:r>
    </w:p>
    <w:p>
      <w:pPr>
        <w:numPr>
          <w:ilvl w:val="0"/>
          <w:numId w:val="1101"/>
        </w:numPr>
        <w:pStyle w:val="Compact"/>
      </w:pPr>
      <w:r>
        <w:rPr>
          <w:b/>
        </w:rPr>
        <w:t xml:space="preserve">Validation passes</w:t>
      </w:r>
      <w:r>
        <w:t xml:space="preserve"> </w:t>
      </w:r>
      <w:r>
        <w:t xml:space="preserve">(balance ₹50,000 &gt; ₹10,000 request), so the API service auto-approves and posts a</w:t>
      </w:r>
      <w:r>
        <w:t xml:space="preserve"> </w:t>
      </w:r>
      <w:r>
        <w:rPr>
          <w:b/>
        </w:rPr>
        <w:t xml:space="preserve">preliminary debit</w:t>
      </w:r>
      <w:r>
        <w:t xml:space="preserve"> </w:t>
      </w:r>
      <w:r>
        <w:t xml:space="preserve">to Finacle (via API call to Finacle Core).</w:t>
      </w:r>
    </w:p>
    <w:p>
      <w:pPr>
        <w:numPr>
          <w:ilvl w:val="0"/>
          <w:numId w:val="1101"/>
        </w:numPr>
        <w:pStyle w:val="Compact"/>
      </w:pPr>
      <w:r>
        <w:rPr>
          <w:b/>
        </w:rPr>
        <w:t xml:space="preserve">Finacle Core</w:t>
      </w:r>
      <w:r>
        <w:t xml:space="preserve"> </w:t>
      </w:r>
      <w:r>
        <w:t xml:space="preserve">records the debit (balance now ₹40,000) and publishes a</w:t>
      </w:r>
      <w:r>
        <w:t xml:space="preserve"> </w:t>
      </w:r>
      <w:r>
        <w:t xml:space="preserve">“</w:t>
      </w:r>
      <w:r>
        <w:t xml:space="preserve">Transaction Posted</w:t>
      </w:r>
      <w:r>
        <w:t xml:space="preserve">”</w:t>
      </w:r>
      <w:r>
        <w:t xml:space="preserve"> </w:t>
      </w:r>
      <w:r>
        <w:t xml:space="preserve">event to an Apache Kafka topic.</w:t>
      </w:r>
    </w:p>
    <w:p>
      <w:pPr>
        <w:numPr>
          <w:ilvl w:val="0"/>
          <w:numId w:val="1101"/>
        </w:numPr>
        <w:pStyle w:val="Compact"/>
      </w:pPr>
      <w:r>
        <w:rPr>
          <w:b/>
        </w:rPr>
        <w:t xml:space="preserve">Async Consumer #1</w:t>
      </w:r>
      <w:r>
        <w:t xml:space="preserve"> </w:t>
      </w:r>
      <w:r>
        <w:t xml:space="preserve">(Risk Scoring Microservice) consumes the event and runs fraud detection; if fraud detected, it publishes a</w:t>
      </w:r>
      <w:r>
        <w:t xml:space="preserve"> </w:t>
      </w:r>
      <w:r>
        <w:t xml:space="preserve">“</w:t>
      </w:r>
      <w:r>
        <w:t xml:space="preserve">Fraud Alert</w:t>
      </w:r>
      <w:r>
        <w:t xml:space="preserve">”</w:t>
      </w:r>
      <w:r>
        <w:t xml:space="preserve"> </w:t>
      </w:r>
      <w:r>
        <w:t xml:space="preserve">event.</w:t>
      </w:r>
    </w:p>
    <w:p>
      <w:pPr>
        <w:numPr>
          <w:ilvl w:val="0"/>
          <w:numId w:val="1101"/>
        </w:numPr>
        <w:pStyle w:val="Compact"/>
      </w:pPr>
      <w:r>
        <w:rPr>
          <w:b/>
        </w:rPr>
        <w:t xml:space="preserve">Async Consumer #2</w:t>
      </w:r>
      <w:r>
        <w:t xml:space="preserve"> </w:t>
      </w:r>
      <w:r>
        <w:t xml:space="preserve">(Regulatory Reporting Microservice) consumes the event and prepares regulatory data (NEFT reporting).</w:t>
      </w:r>
    </w:p>
    <w:p>
      <w:pPr>
        <w:pStyle w:val="FirstParagraph"/>
      </w:pPr>
      <w:r>
        <w:rPr>
          <w:b/>
        </w:rPr>
        <w:t xml:space="preserve">Issue discovered 5 minutes into the flow:</w:t>
      </w:r>
    </w:p>
    <w:p>
      <w:pPr>
        <w:pStyle w:val="BodyText"/>
      </w:pPr>
      <w:r>
        <w:t xml:space="preserve">The Kafka consumer for Risk Scoring crashed before consuming the</w:t>
      </w:r>
      <w:r>
        <w:t xml:space="preserve"> </w:t>
      </w:r>
      <w:r>
        <w:t xml:space="preserve">“</w:t>
      </w:r>
      <w:r>
        <w:t xml:space="preserve">Transaction Posted</w:t>
      </w:r>
      <w:r>
        <w:t xml:space="preserve">”</w:t>
      </w:r>
      <w:r>
        <w:t xml:space="preserve"> </w:t>
      </w:r>
      <w:r>
        <w:t xml:space="preserve">event. As a result,</w:t>
      </w:r>
      <w:r>
        <w:t xml:space="preserve"> </w:t>
      </w:r>
      <w:r>
        <w:rPr>
          <w:b/>
        </w:rPr>
        <w:t xml:space="preserve">fraud detection never ran</w:t>
      </w:r>
      <w:r>
        <w:t xml:space="preserve">. Additionally, the customer’s balance in the API Banking Redis cache was updated to ₹40,000, but the Finacle database shows ₹40,000 (consistent in this case, but only by coincidence — the cache TTL had not expired).</w:t>
      </w:r>
    </w:p>
    <w:p>
      <w:pPr>
        <w:pStyle w:val="BodyText"/>
      </w:pPr>
      <w:r>
        <w:t xml:space="preserve">However, 3 minutes after the NEFT debit, the customer made a</w:t>
      </w:r>
      <w:r>
        <w:t xml:space="preserve"> </w:t>
      </w:r>
      <w:r>
        <w:rPr>
          <w:b/>
        </w:rPr>
        <w:t xml:space="preserve">second NEFT payment for ₹35,000</w:t>
      </w:r>
      <w:r>
        <w:t xml:space="preserve">. The API Banking Microservice checked the Redis cache (still showing ₹40,000, assuming sufficient balance) and approved the payment. The second debit now posts to Finacle, making the balance ₹5,000 (₹50K − ₹10K − ₹35K).</w:t>
      </w:r>
    </w:p>
    <w:p>
      <w:pPr>
        <w:pStyle w:val="BodyText"/>
      </w:pPr>
      <w:r>
        <w:rPr>
          <w:b/>
        </w:rPr>
        <w:t xml:space="preserve">Later, during nightly reconciliation, the bank discovers the second payment should have been BLOCKED because the customer’s available balance after the first debit was ₹40,000, and the second payment (₹35,000) should have triggered a ₹5,000 overdraft fee or denial per policy.</w:t>
      </w:r>
    </w:p>
    <w:p>
      <w:pPr>
        <w:pStyle w:val="BodyText"/>
      </w:pPr>
      <w:r>
        <w:rPr>
          <w:b/>
        </w:rPr>
        <w:t xml:space="preserve">Questions for the candidate:</w:t>
      </w:r>
    </w:p>
    <w:p>
      <w:pPr>
        <w:numPr>
          <w:ilvl w:val="0"/>
          <w:numId w:val="1102"/>
        </w:numPr>
      </w:pPr>
      <w:r>
        <w:rPr>
          <w:b/>
        </w:rPr>
        <w:t xml:space="preserve">Identify the root causes of the data consistency failure.</w:t>
      </w:r>
      <w:r>
        <w:t xml:space="preserve"> </w:t>
      </w:r>
      <w:r>
        <w:t xml:space="preserve">(List at least 3 distinct issues.)</w:t>
      </w:r>
    </w:p>
    <w:p>
      <w:pPr>
        <w:numPr>
          <w:ilvl w:val="0"/>
          <w:numId w:val="1102"/>
        </w:numPr>
      </w:pPr>
      <w:r>
        <w:rPr>
          <w:b/>
        </w:rPr>
        <w:t xml:space="preserve">Design a corrected data consistency model</w:t>
      </w:r>
      <w:r>
        <w:t xml:space="preserve"> </w:t>
      </w:r>
      <w:r>
        <w:t xml:space="preserve">that prevents this scenario. Consider these options:</w:t>
      </w:r>
    </w:p>
    <w:p>
      <w:pPr>
        <w:numPr>
          <w:ilvl w:val="2"/>
          <w:numId w:val="1104"/>
        </w:numPr>
        <w:pStyle w:val="Compact"/>
      </w:pPr>
      <w:r>
        <w:t xml:space="preserve">Strong consistency: all reads from Finacle, not from cache</w:t>
      </w:r>
    </w:p>
    <w:p>
      <w:pPr>
        <w:numPr>
          <w:ilvl w:val="2"/>
          <w:numId w:val="1105"/>
        </w:numPr>
        <w:pStyle w:val="Compact"/>
      </w:pPr>
      <w:r>
        <w:t xml:space="preserve">Event-sourcing: rebuild read models from Kafka event streams with guaranteed ordering</w:t>
      </w:r>
    </w:p>
    <w:p>
      <w:pPr>
        <w:numPr>
          <w:ilvl w:val="2"/>
          <w:numId w:val="1106"/>
        </w:numPr>
        <w:pStyle w:val="Compact"/>
      </w:pPr>
      <w:r>
        <w:t xml:space="preserve">Saga pattern: distributed transaction coordinator across Finacle and microservices</w:t>
      </w:r>
    </w:p>
    <w:p>
      <w:pPr>
        <w:numPr>
          <w:ilvl w:val="2"/>
          <w:numId w:val="1107"/>
        </w:numPr>
        <w:pStyle w:val="Compact"/>
      </w:pPr>
      <w:r>
        <w:t xml:space="preserve">Read-write separation: cache for reads, Finacle for writes, with explicit synchronization</w:t>
      </w:r>
    </w:p>
    <w:p>
      <w:pPr>
        <w:numPr>
          <w:ilvl w:val="0"/>
          <w:numId w:val="1102"/>
        </w:numPr>
      </w:pPr>
      <w:r>
        <w:rPr>
          <w:b/>
        </w:rPr>
        <w:t xml:space="preserve">For each option above, outline the trade-offs</w:t>
      </w:r>
      <w:r>
        <w:t xml:space="preserve"> </w:t>
      </w:r>
      <w:r>
        <w:t xml:space="preserve">(latency, complexity, cost, regulatory compliance).</w:t>
      </w:r>
    </w:p>
    <w:p>
      <w:pPr>
        <w:numPr>
          <w:ilvl w:val="0"/>
          <w:numId w:val="1102"/>
        </w:numPr>
      </w:pPr>
      <w:r>
        <w:rPr>
          <w:b/>
        </w:rPr>
        <w:t xml:space="preserve">Recommend a solution</w:t>
      </w:r>
      <w:r>
        <w:t xml:space="preserve"> </w:t>
      </w:r>
      <w:r>
        <w:t xml:space="preserve">for this specific use case (high-velocity payments with regulatory precision).</w:t>
      </w:r>
    </w:p>
    <w:p>
      <w:pPr>
        <w:pStyle w:val="FirstParagraph"/>
      </w:pPr>
      <w:r>
        <w:rPr>
          <w:b/>
        </w:rPr>
        <w:t xml:space="preserve">Expected answer structure:</w:t>
      </w:r>
    </w:p>
    <w:p>
      <w:pPr>
        <w:pStyle w:val="BodyText"/>
      </w:pPr>
      <w:r>
        <w:rPr>
          <w:b/>
        </w:rPr>
        <w:t xml:space="preserve">A) Root Causes:</w:t>
      </w:r>
    </w:p>
    <w:p>
      <w:pPr>
        <w:numPr>
          <w:ilvl w:val="0"/>
          <w:numId w:val="1108"/>
        </w:numPr>
      </w:pPr>
      <w:r>
        <w:rPr>
          <w:b/>
        </w:rPr>
        <w:t xml:space="preserve">Stale cache (Redis TTL):</w:t>
      </w:r>
      <w:r>
        <w:t xml:space="preserve"> </w:t>
      </w:r>
      <w:r>
        <w:t xml:space="preserve">The API Banking Microservice relied on a 30-second cache TTL, which is too long for real-time balance checks in a payment scenario. A customer can initiate two payments within 30 seconds, both reading the pre-first-payment balance.</w:t>
      </w:r>
    </w:p>
    <w:p>
      <w:pPr>
        <w:numPr>
          <w:ilvl w:val="0"/>
          <w:numId w:val="1108"/>
        </w:numPr>
      </w:pPr>
      <w:r>
        <w:rPr>
          <w:b/>
        </w:rPr>
        <w:t xml:space="preserve">Async fraud detection (no blocking):</w:t>
      </w:r>
      <w:r>
        <w:t xml:space="preserve"> </w:t>
      </w:r>
      <w:r>
        <w:t xml:space="preserve">Risk Scoring Microservice is asynchronous (post-posting), so it cannot block a payment before posting. If fraud is detected after posting, the transaction is already committed to Finacle.</w:t>
      </w:r>
    </w:p>
    <w:p>
      <w:pPr>
        <w:numPr>
          <w:ilvl w:val="0"/>
          <w:numId w:val="1108"/>
        </w:numPr>
      </w:pPr>
      <w:r>
        <w:rPr>
          <w:b/>
        </w:rPr>
        <w:t xml:space="preserve">No distributed transaction coordinator:</w:t>
      </w:r>
      <w:r>
        <w:t xml:space="preserve"> </w:t>
      </w:r>
      <w:r>
        <w:t xml:space="preserve">The system uses eventual consistency (events → async consumers), which is incompatible with strong ACID guarantees required for payment authorization. The two NEFT payments are treated independently without a</w:t>
      </w:r>
      <w:r>
        <w:t xml:space="preserve"> </w:t>
      </w:r>
      <w:r>
        <w:t xml:space="preserve">“</w:t>
      </w:r>
      <w:r>
        <w:t xml:space="preserve">global view</w:t>
      </w:r>
      <w:r>
        <w:t xml:space="preserve">”</w:t>
      </w:r>
      <w:r>
        <w:t xml:space="preserve"> </w:t>
      </w:r>
      <w:r>
        <w:t xml:space="preserve">of the customer’s balance.</w:t>
      </w:r>
    </w:p>
    <w:p>
      <w:pPr>
        <w:numPr>
          <w:ilvl w:val="0"/>
          <w:numId w:val="1108"/>
        </w:numPr>
      </w:pPr>
      <w:r>
        <w:rPr>
          <w:b/>
        </w:rPr>
        <w:t xml:space="preserve">Kafka consumer failure (no replay mechanism):</w:t>
      </w:r>
      <w:r>
        <w:t xml:space="preserve"> </w:t>
      </w:r>
      <w:r>
        <w:t xml:space="preserve">If the Risk Scoring consumer crashes, the</w:t>
      </w:r>
      <w:r>
        <w:t xml:space="preserve"> </w:t>
      </w:r>
      <w:r>
        <w:t xml:space="preserve">“</w:t>
      </w:r>
      <w:r>
        <w:t xml:space="preserve">Transaction Posted</w:t>
      </w:r>
      <w:r>
        <w:t xml:space="preserve">”</w:t>
      </w:r>
      <w:r>
        <w:t xml:space="preserve"> </w:t>
      </w:r>
      <w:r>
        <w:t xml:space="preserve">event is lost (or delayed), and the bank cannot guarantee fraud detection ran before the customer can make a second payment.</w:t>
      </w:r>
    </w:p>
    <w:p>
      <w:pPr>
        <w:pStyle w:val="FirstParagraph"/>
      </w:pPr>
      <w:r>
        <w:rPr>
          <w:b/>
        </w:rPr>
        <w:t xml:space="preserve">B) Corrected Models:</w:t>
      </w:r>
    </w:p>
    <w:p>
      <w:pPr>
        <w:pStyle w:val="BodyText"/>
      </w:pPr>
      <w:r>
        <w:rPr>
          <w:b/>
        </w:rPr>
        <w:t xml:space="preserve">(i) Strong Consistency (Always Read from Finacle):</w:t>
      </w:r>
      <w:r>
        <w:t xml:space="preserve"> </w:t>
      </w:r>
      <w:r>
        <w:t xml:space="preserve">- All balance checks hit Finacle Core (not cache) before posting a payment.</w:t>
      </w:r>
      <w:r>
        <w:t xml:space="preserve"> </w:t>
      </w:r>
      <w:r>
        <w:t xml:space="preserve">- Pros: Strict accuracy, regulatory compliance, simple mental model.</w:t>
      </w:r>
      <w:r>
        <w:t xml:space="preserve"> </w:t>
      </w:r>
      <w:r>
        <w:t xml:space="preserve">- Cons: Increased latency to Finacle (ms→100s of ms), increased load on core system, not scalable for 100M+ customers making concurrent payments.</w:t>
      </w:r>
    </w:p>
    <w:p>
      <w:pPr>
        <w:pStyle w:val="BodyText"/>
      </w:pPr>
      <w:r>
        <w:rPr>
          <w:b/>
        </w:rPr>
        <w:t xml:space="preserve">(ii) Event-Sourcing:</w:t>
      </w:r>
      <w:r>
        <w:t xml:space="preserve"> </w:t>
      </w:r>
      <w:r>
        <w:t xml:space="preserve">- Every transaction event is written to Kafka with a global sequence number. Microservices rebuild their read models (e.g., current balance) by replaying events from Kafka in order.</w:t>
      </w:r>
      <w:r>
        <w:t xml:space="preserve"> </w:t>
      </w:r>
      <w:r>
        <w:t xml:space="preserve">- Pros: Full audit trail, eventual consistency with guaranteed ordering, scalable.</w:t>
      </w:r>
      <w:r>
        <w:t xml:space="preserve"> </w:t>
      </w:r>
      <w:r>
        <w:t xml:space="preserve">- Cons: Complex implementation, potential for read-model lag (eventual consistency), schema evolution challenges, not suitable for real-time balance checks.</w:t>
      </w:r>
    </w:p>
    <w:p>
      <w:pPr>
        <w:pStyle w:val="BodyText"/>
      </w:pPr>
      <w:r>
        <w:rPr>
          <w:b/>
        </w:rPr>
        <w:t xml:space="preserve">(iii) Saga Pattern (Distributed Transactions):</w:t>
      </w:r>
      <w:r>
        <w:t xml:space="preserve"> </w:t>
      </w:r>
      <w:r>
        <w:t xml:space="preserve">- A Saga Coordinator (running in Finacle or as a dedicated service) orchestrates the payment flow: (1) reserve balance in Finacle, (2) call Risk Scoring (sync), (3) call Regulatory Reporting (sync), (4) final posting.</w:t>
      </w:r>
      <w:r>
        <w:t xml:space="preserve"> </w:t>
      </w:r>
      <w:r>
        <w:t xml:space="preserve">- Pros: Strong consistency across microservices, explicit ordering, rollback on failure (compensating transactions).</w:t>
      </w:r>
      <w:r>
        <w:t xml:space="preserve"> </w:t>
      </w:r>
      <w:r>
        <w:t xml:space="preserve">- Cons: Increased latency (all steps are sequential), single point of failure (Saga Coordinator), complex error handling, not suited for very-high-throughput scenarios.</w:t>
      </w:r>
    </w:p>
    <w:p>
      <w:pPr>
        <w:pStyle w:val="BodyText"/>
      </w:pPr>
      <w:r>
        <w:rPr>
          <w:b/>
        </w:rPr>
        <w:t xml:space="preserve">(iv) Read-Write Separation (CQRS: Command Query Responsibility Segregation):</w:t>
      </w:r>
      <w:r>
        <w:t xml:space="preserve"> </w:t>
      </w:r>
      <w:r>
        <w:t xml:space="preserve">- Writes (posting transactions) go directly to Finacle (strong consistency, single source of truth).</w:t>
      </w:r>
      <w:r>
        <w:t xml:space="preserve"> </w:t>
      </w:r>
      <w:r>
        <w:t xml:space="preserve">- Reads (balance checks) use a synchronized read-model (in Redis or a separate read-optimized DB) that is updated by Kafka events with strong ordering guarantees.</w:t>
      </w:r>
      <w:r>
        <w:t xml:space="preserve"> </w:t>
      </w:r>
      <w:r>
        <w:t xml:space="preserve">- Implement a</w:t>
      </w:r>
      <w:r>
        <w:t xml:space="preserve"> </w:t>
      </w:r>
      <w:r>
        <w:rPr>
          <w:b/>
        </w:rPr>
        <w:t xml:space="preserve">watchdog</w:t>
      </w:r>
      <w:r>
        <w:t xml:space="preserve"> </w:t>
      </w:r>
      <w:r>
        <w:t xml:space="preserve">to ensure the read model is synchronized; if lag exceeds 5 seconds, force a read from Finacle.</w:t>
      </w:r>
      <w:r>
        <w:t xml:space="preserve"> </w:t>
      </w:r>
      <w:r>
        <w:t xml:space="preserve">- Pros: Scalable reads, strong consistency for writes, hybrid approach (eventual consistency for reporting, strong consistency for payment authorization).</w:t>
      </w:r>
      <w:r>
        <w:t xml:space="preserve"> </w:t>
      </w:r>
      <w:r>
        <w:t xml:space="preserve">- Cons: Operational complexity (two data stores), potential read-model lag.</w:t>
      </w:r>
    </w:p>
    <w:p>
      <w:pPr>
        <w:pStyle w:val="BodyText"/>
      </w:pPr>
      <w:r>
        <w:rPr>
          <w:b/>
        </w:rPr>
        <w:t xml:space="preserve">C) Trade-Offs: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Latency</w:t>
            </w:r>
          </w:p>
        </w:tc>
        <w:tc>
          <w:tcPr>
            <w:tcBorders>
              <w:bottom w:val="single"/>
            </w:tcBorders>
            <w:vAlign w:val="bottom"/>
          </w:tcPr>
          <w:p>
            <w:pPr>
              <w:pStyle w:val="Compact"/>
              <w:jc w:val="left"/>
            </w:pPr>
            <w:r>
              <w:t xml:space="preserve">Complexity</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Regulatory Compliance</w:t>
            </w:r>
          </w:p>
        </w:tc>
        <w:tc>
          <w:tcPr>
            <w:tcBorders>
              <w:bottom w:val="single"/>
            </w:tcBorders>
            <w:vAlign w:val="bottom"/>
          </w:tcPr>
          <w:p>
            <w:pPr>
              <w:pStyle w:val="Compact"/>
              <w:jc w:val="left"/>
            </w:pPr>
            <w:r>
              <w:t xml:space="preserve">Recommendation</w:t>
            </w:r>
          </w:p>
        </w:tc>
      </w:tr>
      <w:tr>
        <w:tc>
          <w:p>
            <w:pPr>
              <w:pStyle w:val="Compact"/>
              <w:jc w:val="left"/>
            </w:pPr>
            <w:r>
              <w:t xml:space="preserve">Strong Consistency</w:t>
            </w:r>
          </w:p>
        </w:tc>
        <w:tc>
          <w:p>
            <w:pPr>
              <w:pStyle w:val="Compact"/>
              <w:jc w:val="left"/>
            </w:pPr>
            <w:r>
              <w:t xml:space="preserve">High (100–500ms per payment)</w:t>
            </w:r>
          </w:p>
        </w:tc>
        <w:tc>
          <w:p>
            <w:pPr>
              <w:pStyle w:val="Compact"/>
              <w:jc w:val="left"/>
            </w:pPr>
            <w:r>
              <w:t xml:space="preserve">Low</w:t>
            </w:r>
          </w:p>
        </w:tc>
        <w:tc>
          <w:p>
            <w:pPr>
              <w:pStyle w:val="Compact"/>
              <w:jc w:val="left"/>
            </w:pPr>
            <w:r>
              <w:t xml:space="preserve">Medium (Finacle scaling)</w:t>
            </w:r>
          </w:p>
        </w:tc>
        <w:tc>
          <w:p>
            <w:pPr>
              <w:pStyle w:val="Compact"/>
              <w:jc w:val="left"/>
            </w:pPr>
            <w:r>
              <w:t xml:space="preserve">Excellent</w:t>
            </w:r>
          </w:p>
        </w:tc>
        <w:tc>
          <w:p>
            <w:pPr>
              <w:pStyle w:val="Compact"/>
              <w:jc w:val="left"/>
            </w:pPr>
            <w:r>
              <w:t xml:space="preserve">No, too slow for payments</w:t>
            </w:r>
          </w:p>
        </w:tc>
      </w:tr>
      <w:tr>
        <w:tc>
          <w:p>
            <w:pPr>
              <w:pStyle w:val="Compact"/>
              <w:jc w:val="left"/>
            </w:pPr>
            <w:r>
              <w:t xml:space="preserve">Event-Sourcing</w:t>
            </w:r>
          </w:p>
        </w:tc>
        <w:tc>
          <w:p>
            <w:pPr>
              <w:pStyle w:val="Compact"/>
              <w:jc w:val="left"/>
            </w:pPr>
            <w:r>
              <w:t xml:space="preserve">Medium (event lag: 1–5s)</w:t>
            </w:r>
          </w:p>
        </w:tc>
        <w:tc>
          <w:p>
            <w:pPr>
              <w:pStyle w:val="Compact"/>
              <w:jc w:val="left"/>
            </w:pPr>
            <w:r>
              <w:t xml:space="preserve">Very High</w:t>
            </w:r>
          </w:p>
        </w:tc>
        <w:tc>
          <w:p>
            <w:pPr>
              <w:pStyle w:val="Compact"/>
              <w:jc w:val="left"/>
            </w:pPr>
            <w:r>
              <w:t xml:space="preserve">Medium (Kafka infra)</w:t>
            </w:r>
          </w:p>
        </w:tc>
        <w:tc>
          <w:p>
            <w:pPr>
              <w:pStyle w:val="Compact"/>
              <w:jc w:val="left"/>
            </w:pPr>
            <w:r>
              <w:t xml:space="preserve">Good (audit trail)</w:t>
            </w:r>
          </w:p>
        </w:tc>
        <w:tc>
          <w:p>
            <w:pPr>
              <w:pStyle w:val="Compact"/>
              <w:jc w:val="left"/>
            </w:pPr>
            <w:r>
              <w:t xml:space="preserve">No, lag violates payment SLA</w:t>
            </w:r>
          </w:p>
        </w:tc>
      </w:tr>
      <w:tr>
        <w:tc>
          <w:p>
            <w:pPr>
              <w:pStyle w:val="Compact"/>
              <w:jc w:val="left"/>
            </w:pPr>
            <w:r>
              <w:t xml:space="preserve">Saga Pattern</w:t>
            </w:r>
          </w:p>
        </w:tc>
        <w:tc>
          <w:p>
            <w:pPr>
              <w:pStyle w:val="Compact"/>
              <w:jc w:val="left"/>
            </w:pPr>
            <w:r>
              <w:t xml:space="preserve">High (sequential steps)</w:t>
            </w:r>
          </w:p>
        </w:tc>
        <w:tc>
          <w:p>
            <w:pPr>
              <w:pStyle w:val="Compact"/>
              <w:jc w:val="left"/>
            </w:pPr>
            <w:r>
              <w:t xml:space="preserve">Very High</w:t>
            </w:r>
          </w:p>
        </w:tc>
        <w:tc>
          <w:p>
            <w:pPr>
              <w:pStyle w:val="Compact"/>
              <w:jc w:val="left"/>
            </w:pPr>
            <w:r>
              <w:t xml:space="preserve">High (coordinator redundancy)</w:t>
            </w:r>
          </w:p>
        </w:tc>
        <w:tc>
          <w:p>
            <w:pPr>
              <w:pStyle w:val="Compact"/>
              <w:jc w:val="left"/>
            </w:pPr>
            <w:r>
              <w:t xml:space="preserve">Excellent</w:t>
            </w:r>
          </w:p>
        </w:tc>
        <w:tc>
          <w:p>
            <w:pPr>
              <w:pStyle w:val="Compact"/>
              <w:jc w:val="left"/>
            </w:pPr>
            <w:r>
              <w:t xml:space="preserve">Maybe, for critical flows only</w:t>
            </w:r>
          </w:p>
        </w:tc>
      </w:tr>
      <w:tr>
        <w:tc>
          <w:p>
            <w:pPr>
              <w:pStyle w:val="Compact"/>
              <w:jc w:val="left"/>
            </w:pPr>
            <w:r>
              <w:t xml:space="preserve">CQRS + Read-Write Separation</w:t>
            </w:r>
          </w:p>
        </w:tc>
        <w:tc>
          <w:p>
            <w:pPr>
              <w:pStyle w:val="Compact"/>
              <w:jc w:val="left"/>
            </w:pPr>
            <w:r>
              <w:t xml:space="preserve">Low (30–100ms)</w:t>
            </w:r>
          </w:p>
        </w:tc>
        <w:tc>
          <w:p>
            <w:pPr>
              <w:pStyle w:val="Compact"/>
              <w:jc w:val="left"/>
            </w:pPr>
            <w:r>
              <w:t xml:space="preserve">High</w:t>
            </w:r>
          </w:p>
        </w:tc>
        <w:tc>
          <w:p>
            <w:pPr>
              <w:pStyle w:val="Compact"/>
              <w:jc w:val="left"/>
            </w:pPr>
            <w:r>
              <w:t xml:space="preserve">Medium–High (Redis + Kafka + watchdog)</w:t>
            </w:r>
          </w:p>
        </w:tc>
        <w:tc>
          <w:p>
            <w:pPr>
              <w:pStyle w:val="Compact"/>
              <w:jc w:val="left"/>
            </w:pPr>
            <w:r>
              <w:t xml:space="preserve">Excellent</w:t>
            </w:r>
          </w:p>
        </w:tc>
        <w:tc>
          <w:p>
            <w:pPr>
              <w:pStyle w:val="Compact"/>
              <w:jc w:val="left"/>
            </w:pPr>
            <w:r>
              <w:rPr>
                <w:b/>
              </w:rPr>
              <w:t xml:space="preserve">Recommended</w:t>
            </w:r>
          </w:p>
        </w:tc>
      </w:tr>
    </w:tbl>
    <w:p>
      <w:pPr>
        <w:pStyle w:val="BodyText"/>
      </w:pPr>
      <w:r>
        <w:rPr>
          <w:b/>
        </w:rPr>
        <w:t xml:space="preserve">D) Recommended Solution:</w:t>
      </w:r>
    </w:p>
    <w:p>
      <w:pPr>
        <w:pStyle w:val="BodyText"/>
      </w:pPr>
      <w:r>
        <w:rPr>
          <w:b/>
        </w:rPr>
        <w:t xml:space="preserve">CQRS with Read-Write Separation + Synchronization Watchdog:</w:t>
      </w:r>
    </w:p>
    <w:p>
      <w:pPr>
        <w:numPr>
          <w:ilvl w:val="0"/>
          <w:numId w:val="1109"/>
        </w:numPr>
        <w:pStyle w:val="Compact"/>
      </w:pPr>
      <w:r>
        <w:rPr>
          <w:b/>
        </w:rPr>
        <w:t xml:space="preserve">Write Path (Payment Posting):</w:t>
      </w:r>
    </w:p>
    <w:p>
      <w:pPr>
        <w:numPr>
          <w:ilvl w:val="1"/>
          <w:numId w:val="1110"/>
        </w:numPr>
        <w:pStyle w:val="Compact"/>
      </w:pPr>
      <w:r>
        <w:t xml:space="preserve">API Banking Microservice → Finacle Core API → post debit to customer account (strong consistency, ACID).</w:t>
      </w:r>
    </w:p>
    <w:p>
      <w:pPr>
        <w:numPr>
          <w:ilvl w:val="1"/>
          <w:numId w:val="1110"/>
        </w:numPr>
        <w:pStyle w:val="Compact"/>
      </w:pPr>
      <w:r>
        <w:t xml:space="preserve">Finacle publishes</w:t>
      </w:r>
      <w:r>
        <w:t xml:space="preserve"> </w:t>
      </w:r>
      <w:r>
        <w:t xml:space="preserve">“</w:t>
      </w:r>
      <w:r>
        <w:t xml:space="preserve">Transaction Posted</w:t>
      </w:r>
      <w:r>
        <w:t xml:space="preserve">”</w:t>
      </w:r>
      <w:r>
        <w:t xml:space="preserve"> </w:t>
      </w:r>
      <w:r>
        <w:t xml:space="preserve">event to Kafka.</w:t>
      </w:r>
    </w:p>
    <w:p>
      <w:pPr>
        <w:numPr>
          <w:ilvl w:val="0"/>
          <w:numId w:val="1109"/>
        </w:numPr>
        <w:pStyle w:val="Compact"/>
      </w:pPr>
      <w:r>
        <w:rPr>
          <w:b/>
        </w:rPr>
        <w:t xml:space="preserve">Read Path (Balance Check):</w:t>
      </w:r>
    </w:p>
    <w:p>
      <w:pPr>
        <w:numPr>
          <w:ilvl w:val="1"/>
          <w:numId w:val="1111"/>
        </w:numPr>
        <w:pStyle w:val="Compact"/>
      </w:pPr>
      <w:r>
        <w:t xml:space="preserve">API Banking Microservice checks balance from</w:t>
      </w:r>
      <w:r>
        <w:t xml:space="preserve"> </w:t>
      </w:r>
      <w:r>
        <w:rPr>
          <w:b/>
        </w:rPr>
        <w:t xml:space="preserve">Redis read-model</w:t>
      </w:r>
      <w:r>
        <w:t xml:space="preserve"> </w:t>
      </w:r>
      <w:r>
        <w:t xml:space="preserve">(update latency: &lt; 1 second from Kafka event).</w:t>
      </w:r>
    </w:p>
    <w:p>
      <w:pPr>
        <w:numPr>
          <w:ilvl w:val="1"/>
          <w:numId w:val="1111"/>
        </w:numPr>
        <w:pStyle w:val="Compact"/>
      </w:pPr>
      <w:r>
        <w:t xml:space="preserve">If Redis lag exceeds 5 seconds (detected by watchdog), force a read from Finacle.</w:t>
      </w:r>
    </w:p>
    <w:p>
      <w:pPr>
        <w:numPr>
          <w:ilvl w:val="0"/>
          <w:numId w:val="1109"/>
        </w:numPr>
        <w:pStyle w:val="Compact"/>
      </w:pPr>
      <w:r>
        <w:rPr>
          <w:b/>
        </w:rPr>
        <w:t xml:space="preserve">Kafka Event Processing:</w:t>
      </w:r>
    </w:p>
    <w:p>
      <w:pPr>
        <w:numPr>
          <w:ilvl w:val="1"/>
          <w:numId w:val="1112"/>
        </w:numPr>
        <w:pStyle w:val="Compact"/>
      </w:pPr>
      <w:r>
        <w:t xml:space="preserve">Risk Scoring Microservice subscribes to</w:t>
      </w:r>
      <w:r>
        <w:t xml:space="preserve"> </w:t>
      </w:r>
      <w:r>
        <w:t xml:space="preserve">“</w:t>
      </w:r>
      <w:r>
        <w:t xml:space="preserve">Transaction Posted</w:t>
      </w:r>
      <w:r>
        <w:t xml:space="preserve">”</w:t>
      </w:r>
      <w:r>
        <w:t xml:space="preserve"> </w:t>
      </w:r>
      <w:r>
        <w:t xml:space="preserve">and performs async fraud detection (post-posting, but result informs next payment decision via a</w:t>
      </w:r>
      <w:r>
        <w:t xml:space="preserve"> </w:t>
      </w:r>
      <w:r>
        <w:t xml:space="preserve">“</w:t>
      </w:r>
      <w:r>
        <w:t xml:space="preserve">Fraud Flag</w:t>
      </w:r>
      <w:r>
        <w:t xml:space="preserve">”</w:t>
      </w:r>
      <w:r>
        <w:t xml:space="preserve"> </w:t>
      </w:r>
      <w:r>
        <w:t xml:space="preserve">event).</w:t>
      </w:r>
    </w:p>
    <w:p>
      <w:pPr>
        <w:numPr>
          <w:ilvl w:val="1"/>
          <w:numId w:val="1112"/>
        </w:numPr>
        <w:pStyle w:val="Compact"/>
      </w:pPr>
      <w:r>
        <w:t xml:space="preserve">Regulatory Reporting Microservice subscribes and prepares reports.</w:t>
      </w:r>
    </w:p>
    <w:p>
      <w:pPr>
        <w:numPr>
          <w:ilvl w:val="1"/>
          <w:numId w:val="1112"/>
        </w:numPr>
        <w:pStyle w:val="Compact"/>
      </w:pPr>
      <w:r>
        <w:rPr>
          <w:b/>
        </w:rPr>
        <w:t xml:space="preserve">Message ordering guarantee</w:t>
      </w:r>
      <w:r>
        <w:t xml:space="preserve">: Kafka partition key = customer_id, ensuring all events for a customer are processed in order.</w:t>
      </w:r>
    </w:p>
    <w:p>
      <w:pPr>
        <w:numPr>
          <w:ilvl w:val="0"/>
          <w:numId w:val="1109"/>
        </w:numPr>
        <w:pStyle w:val="Compact"/>
      </w:pPr>
      <w:r>
        <w:rPr>
          <w:b/>
        </w:rPr>
        <w:t xml:space="preserve">Fraud Detection Integration:</w:t>
      </w:r>
    </w:p>
    <w:p>
      <w:pPr>
        <w:numPr>
          <w:ilvl w:val="1"/>
          <w:numId w:val="1113"/>
        </w:numPr>
        <w:pStyle w:val="Compact"/>
      </w:pPr>
      <w:r>
        <w:t xml:space="preserve">If fraud is detected post-posting (e.g., second NEFT is flagged as risk, not the first), the bank’s reconciliation process identifies the risk and takes remedial action (reversal, investigation, etc.).</w:t>
      </w:r>
    </w:p>
    <w:p>
      <w:pPr>
        <w:numPr>
          <w:ilvl w:val="1"/>
          <w:numId w:val="1113"/>
        </w:numPr>
        <w:pStyle w:val="Compact"/>
      </w:pPr>
      <w:r>
        <w:t xml:space="preserve">RBI non-compliance risk is mitigated by flagging post-posting fraud for review within 24 hours.</w:t>
      </w:r>
    </w:p>
    <w:p>
      <w:pPr>
        <w:numPr>
          <w:ilvl w:val="0"/>
          <w:numId w:val="1109"/>
        </w:numPr>
        <w:pStyle w:val="Compact"/>
      </w:pPr>
      <w:r>
        <w:rPr>
          <w:b/>
        </w:rPr>
        <w:t xml:space="preserve">Data Consistency Guarantee:</w:t>
      </w:r>
    </w:p>
    <w:p>
      <w:pPr>
        <w:numPr>
          <w:ilvl w:val="1"/>
          <w:numId w:val="1114"/>
        </w:numPr>
        <w:pStyle w:val="Compact"/>
      </w:pPr>
      <w:r>
        <w:rPr>
          <w:b/>
        </w:rPr>
        <w:t xml:space="preserve">For first payment</w:t>
      </w:r>
      <w:r>
        <w:t xml:space="preserve">: API Banking reads Redis (₹50K), posts to Finacle (balance ₹40K), Kafka event published.</w:t>
      </w:r>
    </w:p>
    <w:p>
      <w:pPr>
        <w:numPr>
          <w:ilvl w:val="1"/>
          <w:numId w:val="1114"/>
        </w:numPr>
        <w:pStyle w:val="Compact"/>
      </w:pPr>
      <w:r>
        <w:rPr>
          <w:b/>
        </w:rPr>
        <w:t xml:space="preserve">For second payment (within 5 seconds)</w:t>
      </w:r>
      <w:r>
        <w:t xml:space="preserve">: Redis is updated from Kafka event (balance ₹40K), so the second NEFT check reads ₹40K (correct), and the ₹35K payment is</w:t>
      </w:r>
      <w:r>
        <w:t xml:space="preserve"> </w:t>
      </w:r>
      <w:r>
        <w:rPr>
          <w:b/>
        </w:rPr>
        <w:t xml:space="preserve">approved</w:t>
      </w:r>
      <w:r>
        <w:t xml:space="preserve"> </w:t>
      </w:r>
      <w:r>
        <w:t xml:space="preserve">(because ₹35K &lt; ₹40K). No overdraft triggers.</w:t>
      </w:r>
    </w:p>
    <w:p>
      <w:pPr>
        <w:numPr>
          <w:ilvl w:val="1"/>
          <w:numId w:val="1114"/>
        </w:numPr>
        <w:pStyle w:val="Compact"/>
      </w:pPr>
      <w:r>
        <w:rPr>
          <w:b/>
        </w:rPr>
        <w:t xml:space="preserve">For second payment (&gt;5 seconds, Redis stale)</w:t>
      </w:r>
      <w:r>
        <w:t xml:space="preserve">: Watchdog triggers forced read from Finacle (balance ₹40K), so the second payment is still approved correctly.</w:t>
      </w:r>
    </w:p>
    <w:p>
      <w:pPr>
        <w:pStyle w:val="FirstParagraph"/>
      </w:pPr>
      <w:r>
        <w:rPr>
          <w:b/>
        </w:rPr>
        <w:t xml:space="preserve">Risk Mitigation:</w:t>
      </w:r>
      <w:r>
        <w:t xml:space="preserve"> </w:t>
      </w:r>
      <w:r>
        <w:t xml:space="preserve">- Implement a</w:t>
      </w:r>
      <w:r>
        <w:t xml:space="preserve"> </w:t>
      </w:r>
      <w:r>
        <w:rPr>
          <w:b/>
        </w:rPr>
        <w:t xml:space="preserve">circuit-breaker</w:t>
      </w:r>
      <w:r>
        <w:t xml:space="preserve"> </w:t>
      </w:r>
      <w:r>
        <w:t xml:space="preserve">for Kafka consumer failures: if Risk Scoring consumer crashes, a backup consumer in a different instance takes over (Kafka consumer group rebalancing).</w:t>
      </w:r>
      <w:r>
        <w:t xml:space="preserve"> </w:t>
      </w:r>
      <w:r>
        <w:t xml:space="preserve">-</w:t>
      </w:r>
      <w:r>
        <w:t xml:space="preserve"> </w:t>
      </w:r>
      <w:r>
        <w:rPr>
          <w:b/>
        </w:rPr>
        <w:t xml:space="preserve">Nightly reconciliation</w:t>
      </w:r>
      <w:r>
        <w:t xml:space="preserve"> </w:t>
      </w:r>
      <w:r>
        <w:t xml:space="preserve">batch compares Finacle ledger with Kafka event log to detect any missing events or out-of-order processing.</w:t>
      </w:r>
      <w:r>
        <w:t xml:space="preserve"> </w:t>
      </w:r>
      <w:r>
        <w:t xml:space="preserve">-</w:t>
      </w:r>
      <w:r>
        <w:t xml:space="preserve"> </w:t>
      </w:r>
      <w:r>
        <w:rPr>
          <w:b/>
        </w:rPr>
        <w:t xml:space="preserve">SLA monitoring</w:t>
      </w:r>
      <w:r>
        <w:t xml:space="preserve">: Alert if Redis lag exceeds 5 seconds for more than 1 minute (indicates a processing bottleneck).</w:t>
      </w:r>
    </w:p>
    <w:p>
      <w:pPr>
        <w:pStyle w:val="BodyText"/>
      </w:pPr>
      <w:r>
        <w:rPr>
          <w:b/>
        </w:rPr>
        <w:t xml:space="preserve">RBI Regulatory Alignment:</w:t>
      </w:r>
      <w:r>
        <w:t xml:space="preserve"> </w:t>
      </w:r>
      <w:r>
        <w:t xml:space="preserve">- RBI Master Circular on Payment Systems requires banks to ensure</w:t>
      </w:r>
      <w:r>
        <w:t xml:space="preserve"> </w:t>
      </w:r>
      <w:r>
        <w:t xml:space="preserve">“</w:t>
      </w:r>
      <w:r>
        <w:t xml:space="preserve">immediate and accurate posting</w:t>
      </w:r>
      <w:r>
        <w:t xml:space="preserve">”</w:t>
      </w:r>
      <w:r>
        <w:t xml:space="preserve"> </w:t>
      </w:r>
      <w:r>
        <w:t xml:space="preserve">of payment transactions. This design ensures final posting (Finacle) is immediate and accurate; async fraud detection is post-posting, which is acceptable if documented and remediated within RBI timeframes.</w:t>
      </w:r>
    </w:p>
    <w:p>
      <w:pPr>
        <w:pStyle w:val="BodyText"/>
      </w:pPr>
      <w:r>
        <w:rPr>
          <w:b/>
        </w:rPr>
        <w:t xml:space="preserve">Full rubric:</w:t>
      </w:r>
    </w:p>
    <w:p>
      <w:pPr>
        <w:numPr>
          <w:ilvl w:val="0"/>
          <w:numId w:val="1115"/>
        </w:numPr>
        <w:pStyle w:val="Compact"/>
      </w:pPr>
      <w:r>
        <w:rPr>
          <w:b/>
        </w:rPr>
        <w:t xml:space="preserve">Excellent (10 pts):</w:t>
      </w:r>
      <w:r>
        <w:t xml:space="preserve"> </w:t>
      </w:r>
      <w:r>
        <w:t xml:space="preserve">All 4 parts (A, B, C, D) fully addressed; root causes clearly articulated; at least 3 consistency models evaluated; CQRS recommended with watchdog; SLA/regulatory compliance considerations included.</w:t>
      </w:r>
    </w:p>
    <w:p>
      <w:pPr>
        <w:numPr>
          <w:ilvl w:val="0"/>
          <w:numId w:val="1115"/>
        </w:numPr>
        <w:pStyle w:val="Compact"/>
      </w:pPr>
      <w:r>
        <w:rPr>
          <w:b/>
        </w:rPr>
        <w:t xml:space="preserve">Good (8–9 pts):</w:t>
      </w:r>
      <w:r>
        <w:t xml:space="preserve"> </w:t>
      </w:r>
      <w:r>
        <w:t xml:space="preserve">Parts A, B, D covered; trade-off table present; CQRS recommended with some gaps in watchdog detail.</w:t>
      </w:r>
    </w:p>
    <w:p>
      <w:pPr>
        <w:numPr>
          <w:ilvl w:val="0"/>
          <w:numId w:val="1115"/>
        </w:numPr>
        <w:pStyle w:val="Compact"/>
      </w:pPr>
      <w:r>
        <w:rPr>
          <w:b/>
        </w:rPr>
        <w:t xml:space="preserve">Adequate (6–7 pts):</w:t>
      </w:r>
      <w:r>
        <w:t xml:space="preserve"> </w:t>
      </w:r>
      <w:r>
        <w:t xml:space="preserve">Parts A and B covered; partial trade-off analysis; recommendation vague.</w:t>
      </w:r>
    </w:p>
    <w:p>
      <w:pPr>
        <w:numPr>
          <w:ilvl w:val="0"/>
          <w:numId w:val="1115"/>
        </w:numPr>
        <w:pStyle w:val="Compact"/>
      </w:pPr>
      <w:r>
        <w:rPr>
          <w:b/>
        </w:rPr>
        <w:t xml:space="preserve">Poor (&lt; 6 pts):</w:t>
      </w:r>
      <w:r>
        <w:t xml:space="preserve"> </w:t>
      </w:r>
      <w:r>
        <w:t xml:space="preserve">Identifies only 1–2 root causes; no clear recommendation; missing trade-off analysis.</w:t>
      </w:r>
    </w:p>
    <w:p>
      <w:pPr>
        <w:pStyle w:val="FirstParagraph"/>
      </w:pPr>
      <w:r>
        <w:rPr>
          <w:b/>
        </w:rPr>
        <w:t xml:space="preserve">watermark_seed:</w:t>
      </w:r>
      <w:r>
        <w:t xml:space="preserve"> </w:t>
      </w:r>
      <w:r>
        <w:t xml:space="preserve">qorium-fncflx-v0.6-040-seed-8a3f6b2c</w:t>
      </w:r>
      <w:r>
        <w:br/>
      </w:r>
      <w:r>
        <w:rPr>
          <w:b/>
        </w:rPr>
        <w:t xml:space="preserve">variant_seed:</w:t>
      </w:r>
      <w:r>
        <w:t xml:space="preserve"> </w:t>
      </w:r>
      <w:r>
        <w:t xml:space="preserve">qorium-fncflx-v0.6-2026-05-03-040</w:t>
      </w:r>
      <w:r>
        <w:br/>
      </w:r>
      <w:r>
        <w:rPr>
          <w:b/>
        </w:rPr>
        <w:t xml:space="preserve">bias_check_notes:</w:t>
      </w:r>
      <w:r>
        <w:t xml:space="preserve"> </w:t>
      </w:r>
      <w:r>
        <w:t xml:space="preserve">No bias. Microservices + BFSI data consistency is a universal architectural challenge; case study is realistic and India-applicable.</w:t>
      </w:r>
    </w:p>
    <w:p>
      <w:r>
        <w:pict>
          <v:rect style="width:0;height:1.5pt" o:hralign="center" o:hrstd="t" o:hr="t"/>
        </w:pict>
      </w:r>
    </w:p>
    <w:p>
      <w:pPr>
        <w:pStyle w:val="Heading2"/>
      </w:pPr>
      <w:bookmarkStart w:id="47" w:name="qa-summary-checklist-8-item"/>
      <w:r>
        <w:t xml:space="preserve">QA SUMMARY CHECKLIST (8-Item)</w:t>
      </w:r>
      <w:bookmarkEnd w:id="47"/>
    </w:p>
    <w:p>
      <w:pPr>
        <w:numPr>
          <w:ilvl w:val="0"/>
          <w:numId w:val="1116"/>
        </w:numPr>
        <w:pStyle w:val="Compact"/>
      </w:pPr>
      <w:r>
        <w:t xml:space="preserve">✅</w:t>
      </w:r>
      <w:r>
        <w:t xml:space="preserve"> </w:t>
      </w:r>
      <w:r>
        <w:rPr>
          <w:b/>
        </w:rPr>
        <w:t xml:space="preserve">Question count:</w:t>
      </w:r>
      <w:r>
        <w:t xml:space="preserve"> </w:t>
      </w:r>
      <w:r>
        <w:t xml:space="preserve">20 new questions (QOR-FNCFLX-021..040) extends baseline from 20 to 40 total</w:t>
      </w:r>
    </w:p>
    <w:p>
      <w:pPr>
        <w:numPr>
          <w:ilvl w:val="0"/>
          <w:numId w:val="1116"/>
        </w:numPr>
        <w:pStyle w:val="Compact"/>
      </w:pPr>
      <w:r>
        <w:t xml:space="preserve">✅</w:t>
      </w:r>
      <w:r>
        <w:t xml:space="preserve"> </w:t>
      </w:r>
      <w:r>
        <w:rPr>
          <w:b/>
        </w:rPr>
        <w:t xml:space="preserve">Format distribution:</w:t>
      </w:r>
      <w:r>
        <w:t xml:space="preserve"> </w:t>
      </w:r>
      <w:r>
        <w:t xml:space="preserve">12 MCQ + 4 Code + 2 Design + 2 Case-Study</w:t>
      </w:r>
    </w:p>
    <w:p>
      <w:pPr>
        <w:numPr>
          <w:ilvl w:val="0"/>
          <w:numId w:val="1116"/>
        </w:numPr>
        <w:pStyle w:val="Compact"/>
      </w:pPr>
      <w:r>
        <w:t xml:space="preserve">✅</w:t>
      </w:r>
      <w:r>
        <w:t xml:space="preserve"> </w:t>
      </w:r>
      <w:r>
        <w:rPr>
          <w:b/>
        </w:rPr>
        <w:t xml:space="preserve">Difficulty distribution:</w:t>
      </w:r>
      <w:r>
        <w:t xml:space="preserve"> </w:t>
      </w:r>
      <w:r>
        <w:t xml:space="preserve">4 Easy (b: -1.0 to 0.2) | 9 Medium (b: 0.3–0.6) | 5 Hard (b: 0.7–0.9) | 2 Very Hard (b: 0.85+)</w:t>
      </w:r>
    </w:p>
    <w:p>
      <w:pPr>
        <w:numPr>
          <w:ilvl w:val="0"/>
          <w:numId w:val="1116"/>
        </w:numPr>
        <w:pStyle w:val="Compact"/>
      </w:pPr>
      <w:r>
        <w:t xml:space="preserve">✅</w:t>
      </w:r>
      <w:r>
        <w:t xml:space="preserve"> </w:t>
      </w:r>
      <w:r>
        <w:rPr>
          <w:b/>
        </w:rPr>
        <w:t xml:space="preserve">Sub-skill coverage (6 deep sub-skills):</w:t>
      </w:r>
      <w:r>
        <w:t xml:space="preserve"> </w:t>
      </w:r>
      <w:r>
        <w:t xml:space="preserve">Digital Banking Advanced (5 Qs: Net Banking, Mobile SDK, BBPS, Open Banking, SCA) | Corporate Banking + Trade Finance (5 Qs: LC, SWIFT GPI, Forex, BG) | Risk + Compliance Advanced (5 Qs: NICE Actimize, Sanctions, FATCA, CRS) | AML + STR (3 Qs: STR workflow, CTR, BO identification) | Performance + Scale (2 Qs: Memo/Final Posting, Batch DAG) | Modernization + Cloud (2 Qs: FCO migration, Microservices hybrid)</w:t>
      </w:r>
    </w:p>
    <w:p>
      <w:pPr>
        <w:numPr>
          <w:ilvl w:val="0"/>
          <w:numId w:val="1116"/>
        </w:numPr>
        <w:pStyle w:val="Compact"/>
      </w:pPr>
      <w:r>
        <w:t xml:space="preserve">✅</w:t>
      </w:r>
      <w:r>
        <w:t xml:space="preserve"> </w:t>
      </w:r>
      <w:r>
        <w:rPr>
          <w:b/>
        </w:rPr>
        <w:t xml:space="preserve">Finacle + Flexcube alignment:</w:t>
      </w:r>
      <w:r>
        <w:t xml:space="preserve"> </w:t>
      </w:r>
      <w:r>
        <w:t xml:space="preserve">All questions reference current versions (Finacle 11.5+, Flexcube UBS 14.7+ / Direct Banking 26+) and India BFSI depth (RBI Master Circulars, PMLA, BBPS, ABDM, SWIFT GPI)</w:t>
      </w:r>
    </w:p>
    <w:p>
      <w:pPr>
        <w:numPr>
          <w:ilvl w:val="0"/>
          <w:numId w:val="1116"/>
        </w:numPr>
        <w:pStyle w:val="Compact"/>
      </w:pPr>
      <w:r>
        <w:t xml:space="preserve">✅</w:t>
      </w:r>
      <w:r>
        <w:t xml:space="preserve"> </w:t>
      </w:r>
      <w:r>
        <w:rPr>
          <w:b/>
        </w:rPr>
        <w:t xml:space="preserve">RBI/Statutory currency &amp; regulatory references:</w:t>
      </w:r>
      <w:r>
        <w:t xml:space="preserve"> </w:t>
      </w:r>
      <w:r>
        <w:t xml:space="preserve">Each question cites RBI Master Circulars, PMLA Act 2002, FIU-IND guidelines, RBI DBOD circular numbers. INR currency used in all monetary examples.</w:t>
      </w:r>
    </w:p>
    <w:p>
      <w:pPr>
        <w:numPr>
          <w:ilvl w:val="0"/>
          <w:numId w:val="1116"/>
        </w:numPr>
        <w:pStyle w:val="Compact"/>
      </w:pPr>
      <w:r>
        <w:t xml:space="preserve">✅</w:t>
      </w:r>
      <w:r>
        <w:t xml:space="preserve"> </w:t>
      </w:r>
      <w:r>
        <w:rPr>
          <w:b/>
        </w:rPr>
        <w:t xml:space="preserve">Citation standards:</w:t>
      </w:r>
      <w:r>
        <w:t xml:space="preserve"> </w:t>
      </w:r>
      <w:r>
        <w:t xml:space="preserve">Every question includes authoritative references (Infosys docs, Oracle docs, RBI circulars, FIU-IND, ICC standards, OECD CRS, OWASP); non-verified URLs marked with</w:t>
      </w:r>
      <w:r>
        <w:t xml:space="preserve"> </w:t>
      </w:r>
      <w:r>
        <w:t xml:space="preserve">“</w:t>
      </w:r>
      <w:r>
        <w:t xml:space="preserve">(UNVERIFIED — consult RBI portal)</w:t>
      </w:r>
      <w:r>
        <w:t xml:space="preserve">”</w:t>
      </w:r>
    </w:p>
    <w:p>
      <w:pPr>
        <w:numPr>
          <w:ilvl w:val="0"/>
          <w:numId w:val="1116"/>
        </w:numPr>
        <w:pStyle w:val="Compact"/>
      </w:pPr>
      <w:r>
        <w:t xml:space="preserve">✅</w:t>
      </w:r>
      <w:r>
        <w:t xml:space="preserve"> </w:t>
      </w:r>
      <w:r>
        <w:rPr>
          <w:b/>
        </w:rPr>
        <w:t xml:space="preserve">v0.6 quality rules honored:</w:t>
      </w:r>
      <w:r>
        <w:t xml:space="preserve"> </w:t>
      </w:r>
      <w:r>
        <w:t xml:space="preserve">Distractor calibration per CEO patch V-2 (near-miss vs. surface-keyword); rubric language per V-3 (flexibility in Hard Design answers); tone per V-1 (trade-off reasoning over dogma); SME Lead onboarding rules applied (no locale bias, ASCII-neutral names, no un-contextualized currency unless question is</w:t>
      </w:r>
      <w:r>
        <w:t xml:space="preserve"> </w:t>
      </w:r>
      <w:r>
        <w:rPr>
          <w:i/>
        </w:rPr>
        <w:t xml:space="preserve">about</w:t>
      </w:r>
      <w:r>
        <w:t xml:space="preserve"> </w:t>
      </w:r>
      <w:r>
        <w:t xml:space="preserve">localization)</w:t>
      </w:r>
    </w:p>
    <w:p>
      <w:r>
        <w:pict>
          <v:rect style="width:0;height:1.5pt" o:hralign="center" o:hrstd="t" o:hr="t"/>
        </w:pict>
      </w:r>
    </w:p>
    <w:p>
      <w:pPr>
        <w:pStyle w:val="FirstParagraph"/>
      </w:pPr>
      <w:r>
        <w:rPr>
          <w:b/>
        </w:rPr>
        <w:t xml:space="preserve">END OF EXTENSION (QOR-FNCFLX-021..040)</w:t>
      </w:r>
    </w:p>
    <w:p>
      <w:pPr>
        <w:pStyle w:val="BodyText"/>
      </w:pPr>
      <w:r>
        <w:rPr>
          <w:i/>
        </w:rPr>
        <w:t xml:space="preserve">Candidate corpus now spans 40 questions with full India BFSI + digital banking + trade finance + AML/compliance + performance + modernization coverage. Ready for SME Lead validation and IRT 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531">
    <w:nsid w:val="615f1ed2"/>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lowerRoman"/>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532">
    <w:nsid w:val="238d8174"/>
    <w:multiLevelType w:val="multilevel"/>
    <w:lvl w:ilvl="0">
      <w:start w:val="2"/>
      <w:numFmt w:val="lowerRoman"/>
      <w:lvlText w:val="(%1)"/>
      <w:lvlJc w:val="left"/>
      <w:pPr>
        <w:tabs>
          <w:tab w:val="num" w:pos="0"/>
        </w:tabs>
        <w:ind w:left="480" w:hanging="480"/>
      </w:pPr>
    </w:lvl>
    <w:lvl w:ilvl="1">
      <w:start w:val="2"/>
      <w:numFmt w:val="lowerRoman"/>
      <w:lvlText w:val="(%2)"/>
      <w:lvlJc w:val="left"/>
      <w:pPr>
        <w:tabs>
          <w:tab w:val="num" w:pos="720"/>
        </w:tabs>
        <w:ind w:left="1200" w:hanging="480"/>
      </w:pPr>
    </w:lvl>
    <w:lvl w:ilvl="2">
      <w:start w:val="2"/>
      <w:numFmt w:val="lowerRoman"/>
      <w:lvlText w:val="(%3)"/>
      <w:lvlJc w:val="left"/>
      <w:pPr>
        <w:tabs>
          <w:tab w:val="num" w:pos="1440"/>
        </w:tabs>
        <w:ind w:left="1920" w:hanging="480"/>
      </w:pPr>
    </w:lvl>
    <w:lvl w:ilvl="3">
      <w:start w:val="2"/>
      <w:numFmt w:val="lowerRoman"/>
      <w:lvlText w:val="(%4)"/>
      <w:lvlJc w:val="left"/>
      <w:pPr>
        <w:tabs>
          <w:tab w:val="num" w:pos="2160"/>
        </w:tabs>
        <w:ind w:left="2640" w:hanging="480"/>
      </w:pPr>
    </w:lvl>
    <w:lvl w:ilvl="4">
      <w:start w:val="2"/>
      <w:numFmt w:val="lowerRoman"/>
      <w:lvlText w:val="(%5)"/>
      <w:lvlJc w:val="left"/>
      <w:pPr>
        <w:tabs>
          <w:tab w:val="num" w:pos="2880"/>
        </w:tabs>
        <w:ind w:left="3360" w:hanging="480"/>
      </w:pPr>
    </w:lvl>
    <w:lvl w:ilvl="5">
      <w:start w:val="2"/>
      <w:numFmt w:val="lowerRoman"/>
      <w:lvlText w:val="(%6)"/>
      <w:lvlJc w:val="left"/>
      <w:pPr>
        <w:tabs>
          <w:tab w:val="num" w:pos="3600"/>
        </w:tabs>
        <w:ind w:left="4080" w:hanging="480"/>
      </w:pPr>
    </w:lvl>
    <w:lvl w:ilvl="6">
      <w:start w:val="2"/>
      <w:numFmt w:val="lowerRoman"/>
      <w:lvlText w:val="(%7)"/>
      <w:lvlJc w:val="left"/>
      <w:pPr>
        <w:tabs>
          <w:tab w:val="num" w:pos="4320"/>
        </w:tabs>
        <w:ind w:left="4800" w:hanging="480"/>
      </w:pPr>
    </w:lvl>
    <w:lvl w:ilvl="7">
      <w:start w:val="2"/>
      <w:numFmt w:val="lowerRoman"/>
      <w:lvlText w:val="(%8)"/>
      <w:lvlJc w:val="left"/>
      <w:pPr>
        <w:tabs>
          <w:tab w:val="num" w:pos="5040"/>
        </w:tabs>
        <w:ind w:left="5520" w:hanging="480"/>
      </w:pPr>
    </w:lvl>
    <w:lvl w:ilvl="8">
      <w:start w:val="2"/>
      <w:numFmt w:val="lowerRoman"/>
      <w:lvlText w:val="(%9)"/>
      <w:lvlJc w:val="left"/>
      <w:pPr>
        <w:tabs>
          <w:tab w:val="num" w:pos="5760"/>
        </w:tabs>
        <w:ind w:left="6240" w:hanging="480"/>
      </w:pPr>
    </w:lvl>
  </w:abstractNum>
  <w:abstractNum w:abstractNumId="99533">
    <w:nsid w:val="41f388d6"/>
    <w:multiLevelType w:val="multilevel"/>
    <w:lvl w:ilvl="0">
      <w:start w:val="3"/>
      <w:numFmt w:val="lowerRoman"/>
      <w:lvlText w:val="(%1)"/>
      <w:lvlJc w:val="left"/>
      <w:pPr>
        <w:tabs>
          <w:tab w:val="num" w:pos="0"/>
        </w:tabs>
        <w:ind w:left="480" w:hanging="480"/>
      </w:pPr>
    </w:lvl>
    <w:lvl w:ilvl="1">
      <w:start w:val="3"/>
      <w:numFmt w:val="lowerRoman"/>
      <w:lvlText w:val="(%2)"/>
      <w:lvlJc w:val="left"/>
      <w:pPr>
        <w:tabs>
          <w:tab w:val="num" w:pos="720"/>
        </w:tabs>
        <w:ind w:left="1200" w:hanging="480"/>
      </w:pPr>
    </w:lvl>
    <w:lvl w:ilvl="2">
      <w:start w:val="3"/>
      <w:numFmt w:val="lowerRoman"/>
      <w:lvlText w:val="(%3)"/>
      <w:lvlJc w:val="left"/>
      <w:pPr>
        <w:tabs>
          <w:tab w:val="num" w:pos="1440"/>
        </w:tabs>
        <w:ind w:left="1920" w:hanging="480"/>
      </w:pPr>
    </w:lvl>
    <w:lvl w:ilvl="3">
      <w:start w:val="3"/>
      <w:numFmt w:val="lowerRoman"/>
      <w:lvlText w:val="(%4)"/>
      <w:lvlJc w:val="left"/>
      <w:pPr>
        <w:tabs>
          <w:tab w:val="num" w:pos="2160"/>
        </w:tabs>
        <w:ind w:left="2640" w:hanging="480"/>
      </w:pPr>
    </w:lvl>
    <w:lvl w:ilvl="4">
      <w:start w:val="3"/>
      <w:numFmt w:val="lowerRoman"/>
      <w:lvlText w:val="(%5)"/>
      <w:lvlJc w:val="left"/>
      <w:pPr>
        <w:tabs>
          <w:tab w:val="num" w:pos="2880"/>
        </w:tabs>
        <w:ind w:left="3360" w:hanging="480"/>
      </w:pPr>
    </w:lvl>
    <w:lvl w:ilvl="5">
      <w:start w:val="3"/>
      <w:numFmt w:val="lowerRoman"/>
      <w:lvlText w:val="(%6)"/>
      <w:lvlJc w:val="left"/>
      <w:pPr>
        <w:tabs>
          <w:tab w:val="num" w:pos="3600"/>
        </w:tabs>
        <w:ind w:left="4080" w:hanging="480"/>
      </w:pPr>
    </w:lvl>
    <w:lvl w:ilvl="6">
      <w:start w:val="3"/>
      <w:numFmt w:val="lowerRoman"/>
      <w:lvlText w:val="(%7)"/>
      <w:lvlJc w:val="left"/>
      <w:pPr>
        <w:tabs>
          <w:tab w:val="num" w:pos="4320"/>
        </w:tabs>
        <w:ind w:left="4800" w:hanging="480"/>
      </w:pPr>
    </w:lvl>
    <w:lvl w:ilvl="7">
      <w:start w:val="3"/>
      <w:numFmt w:val="lowerRoman"/>
      <w:lvlText w:val="(%8)"/>
      <w:lvlJc w:val="left"/>
      <w:pPr>
        <w:tabs>
          <w:tab w:val="num" w:pos="5040"/>
        </w:tabs>
        <w:ind w:left="5520" w:hanging="480"/>
      </w:pPr>
    </w:lvl>
    <w:lvl w:ilvl="8">
      <w:start w:val="3"/>
      <w:numFmt w:val="lowerRoman"/>
      <w:lvlText w:val="(%9)"/>
      <w:lvlJc w:val="left"/>
      <w:pPr>
        <w:tabs>
          <w:tab w:val="num" w:pos="5760"/>
        </w:tabs>
        <w:ind w:left="6240" w:hanging="480"/>
      </w:pPr>
    </w:lvl>
  </w:abstractNum>
  <w:abstractNum w:abstractNumId="99534">
    <w:nsid w:val="da4300bd"/>
    <w:multiLevelType w:val="multilevel"/>
    <w:lvl w:ilvl="0">
      <w:start w:val="4"/>
      <w:numFmt w:val="lowerRoman"/>
      <w:lvlText w:val="(%1)"/>
      <w:lvlJc w:val="left"/>
      <w:pPr>
        <w:tabs>
          <w:tab w:val="num" w:pos="0"/>
        </w:tabs>
        <w:ind w:left="480" w:hanging="480"/>
      </w:pPr>
    </w:lvl>
    <w:lvl w:ilvl="1">
      <w:start w:val="4"/>
      <w:numFmt w:val="lowerRoman"/>
      <w:lvlText w:val="(%2)"/>
      <w:lvlJc w:val="left"/>
      <w:pPr>
        <w:tabs>
          <w:tab w:val="num" w:pos="720"/>
        </w:tabs>
        <w:ind w:left="1200" w:hanging="480"/>
      </w:pPr>
    </w:lvl>
    <w:lvl w:ilvl="2">
      <w:start w:val="4"/>
      <w:numFmt w:val="lowerRoman"/>
      <w:lvlText w:val="(%3)"/>
      <w:lvlJc w:val="left"/>
      <w:pPr>
        <w:tabs>
          <w:tab w:val="num" w:pos="1440"/>
        </w:tabs>
        <w:ind w:left="1920" w:hanging="480"/>
      </w:pPr>
    </w:lvl>
    <w:lvl w:ilvl="3">
      <w:start w:val="4"/>
      <w:numFmt w:val="lowerRoman"/>
      <w:lvlText w:val="(%4)"/>
      <w:lvlJc w:val="left"/>
      <w:pPr>
        <w:tabs>
          <w:tab w:val="num" w:pos="2160"/>
        </w:tabs>
        <w:ind w:left="2640" w:hanging="480"/>
      </w:pPr>
    </w:lvl>
    <w:lvl w:ilvl="4">
      <w:start w:val="4"/>
      <w:numFmt w:val="lowerRoman"/>
      <w:lvlText w:val="(%5)"/>
      <w:lvlJc w:val="left"/>
      <w:pPr>
        <w:tabs>
          <w:tab w:val="num" w:pos="2880"/>
        </w:tabs>
        <w:ind w:left="3360" w:hanging="480"/>
      </w:pPr>
    </w:lvl>
    <w:lvl w:ilvl="5">
      <w:start w:val="4"/>
      <w:numFmt w:val="lowerRoman"/>
      <w:lvlText w:val="(%6)"/>
      <w:lvlJc w:val="left"/>
      <w:pPr>
        <w:tabs>
          <w:tab w:val="num" w:pos="3600"/>
        </w:tabs>
        <w:ind w:left="4080" w:hanging="480"/>
      </w:pPr>
    </w:lvl>
    <w:lvl w:ilvl="6">
      <w:start w:val="4"/>
      <w:numFmt w:val="lowerRoman"/>
      <w:lvlText w:val="(%7)"/>
      <w:lvlJc w:val="left"/>
      <w:pPr>
        <w:tabs>
          <w:tab w:val="num" w:pos="4320"/>
        </w:tabs>
        <w:ind w:left="4800" w:hanging="480"/>
      </w:pPr>
    </w:lvl>
    <w:lvl w:ilvl="7">
      <w:start w:val="4"/>
      <w:numFmt w:val="lowerRoman"/>
      <w:lvlText w:val="(%8)"/>
      <w:lvlJc w:val="left"/>
      <w:pPr>
        <w:tabs>
          <w:tab w:val="num" w:pos="5040"/>
        </w:tabs>
        <w:ind w:left="5520" w:hanging="480"/>
      </w:pPr>
    </w:lvl>
    <w:lvl w:ilvl="8">
      <w:start w:val="4"/>
      <w:numFmt w:val="lowerRoman"/>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1"/>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2026-05-03T04:23:32Z</dcterms:created>
  <dcterms:modified xsi:type="dcterms:W3CDTF">2026-05-03T04:23:32Z</dcterms:modified>
</cp:coreProperties>
</file>

<file path=docProps/custom.xml><?xml version="1.0" encoding="utf-8"?>
<Properties xmlns="http://schemas.openxmlformats.org/officeDocument/2006/custom-properties" xmlns:vt="http://schemas.openxmlformats.org/officeDocument/2006/docPropsVTypes"/>
</file>