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Flowesce</w:t>
      </w:r>
    </w:p>
    <w:p>
      <w:pPr>
        <w:spacing w:after="60"/>
      </w:pPr>
      <w:r>
        <w:rPr>
          <w:i/>
          <w:iCs/>
          <w:color w:val="555555"/>
          <w:sz w:val="24"/>
          <w:szCs w:val="24"/>
        </w:rPr>
        <w:t xml:space="preserve">All-in-one salon software — product audit, live feature inventory, and a plan to get 10% better</w:t>
      </w:r>
    </w:p>
    <w:p>
      <w:pPr>
        <w:spacing w:after="160" w:line="300"/>
      </w:pPr>
      <w:r>
        <w:rPr>
          <w:color w:val="777777"/>
          <w:sz w:val="18"/>
          <w:szCs w:val="18"/>
        </w:rPr>
        <w:t xml:space="preserve">flowesce.com  ·  Reviewed July 16, 2026  ·  Live site walked page-by-page, every interactive demo clicked, booked, and dragged</w:t>
      </w:r>
    </w:p>
    <w:p>
      <w:pPr>
        <w:pBdr>
          <w:bottom w:val="single" w:color="CCCCCC" w:sz="4" w:space="4"/>
        </w:pBdr>
        <w:spacing w:after="200" w:before="200"/>
      </w:pPr>
      <w:r>
        <w:t xml:space="preserve"/>
      </w:r>
    </w:p>
    <w:p>
      <w:pPr>
        <w:pStyle w:val="Heading1"/>
        <w:spacing w:after="160" w:before="360"/>
      </w:pPr>
      <w:r>
        <w:t xml:space="preserve">Executive summary</w:t>
      </w:r>
    </w:p>
    <w:p>
      <w:pPr>
        <w:spacing w:after="160" w:line="300"/>
      </w:pPr>
      <w:r>
        <w:t xml:space="preserve">Flowesce is not a standalone loyalty app. It's a full salon operating system — online booking, calendar, inventory with expiry tracking, POS and payments, owner-readable bookkeeping, and a website builder — with loyalty, memberships, referrals and reputation management as one of six feature pillars. That distinction matters: the loyalty module is genuinely well designed (real spendable credit instead of vanity points), but it's a small piece of a much larger, more ambitious product.</w:t>
      </w:r>
    </w:p>
    <w:p>
      <w:pPr>
        <w:spacing w:after="160" w:line="300"/>
      </w:pPr>
      <w:r>
        <w:t xml:space="preserve">The product itself is strong for its stage: a live, end-to-end booking demo that actually books; a shop cart that live-decrements shared inventory; near-daily shipping (the public changelog shows dated releases almost every day since June 2026); and unusually candid self-disclosure of limitations in FAQs across every feature page. Pricing (S$20–S$65/month, no per-seat or per-booking fees) undercuts every named competitor except Fresha's fee-per-transaction model, and Fresha's fees eat into margin at volume in a way Flowesce's flat price doesn't.</w:t>
      </w:r>
    </w:p>
    <w:p>
      <w:pPr>
        <w:spacing w:after="160" w:line="300"/>
      </w:pPr>
      <w:r>
        <w:t xml:space="preserve">The gaps are concentrated in three places: (1) two verified, dated inconsistencies where one page of the live site contradicts another about what's actually built; (2) a payments footprint that is Singapore-only for anything requiring a card online, which caps Growth-tier value (auto-charged no-shows, membership auto-billing, online storefront checkout) everywhere else; and (3) an almost complete absence of trust signals — no testimonials, review-platform badges, security/compliance page, or live chat — for a product asking salons to migrate real client and payment data off incumbents. None of this requires a rebuild. The final section is a prioritized, mostly-quick-turnaround plan to close these gaps.</w:t>
      </w:r>
    </w:p>
    <w:p>
      <w:pPr>
        <w:pStyle w:val="Heading1"/>
        <w:spacing w:after="160" w:before="360"/>
      </w:pPr>
      <w:r>
        <w:t xml:space="preserve">What Flowesce actually is</w:t>
      </w:r>
    </w:p>
    <w:p>
      <w:pPr>
        <w:spacing w:after="160" w:line="300"/>
      </w:pPr>
      <w:r>
        <w:t xml:space="preserve">The marketing site organizes the product into six pillars, plus two pricing tiers (Solo and Growth). The inventory below mirrors the site's own structure so it's checkable page-by-page:</w:t>
      </w:r>
    </w:p>
    <w:p>
      <w:pPr>
        <w:pStyle w:val="ListParagraph"/>
        <w:numPr>
          <w:ilvl w:val="0"/>
          <w:numId w:val="1"/>
        </w:numPr>
        <w:spacing w:after="90" w:line="280"/>
      </w:pPr>
      <w:r>
        <w:t xml:space="preserve">What your clients see — online booking, intake/consent forms, booking policies, website builder</w:t>
      </w:r>
    </w:p>
    <w:p>
      <w:pPr>
        <w:pStyle w:val="ListParagraph"/>
        <w:numPr>
          <w:ilvl w:val="0"/>
          <w:numId w:val="1"/>
        </w:numPr>
        <w:spacing w:after="90" w:line="280"/>
      </w:pPr>
      <w:r>
        <w:t xml:space="preserve">Running the day — calendar/scheduling, unified waitlist, promotions</w:t>
      </w:r>
    </w:p>
    <w:p>
      <w:pPr>
        <w:pStyle w:val="ListParagraph"/>
        <w:numPr>
          <w:ilvl w:val="0"/>
          <w:numId w:val="1"/>
        </w:numPr>
        <w:spacing w:after="90" w:line="280"/>
      </w:pPr>
      <w:r>
        <w:t xml:space="preserve">Money + stock — inventory, payments/POS, gift cards, retail storefront</w:t>
      </w:r>
    </w:p>
    <w:p>
      <w:pPr>
        <w:pStyle w:val="ListParagraph"/>
        <w:numPr>
          <w:ilvl w:val="0"/>
          <w:numId w:val="1"/>
        </w:numPr>
        <w:spacing w:after="90" w:line="280"/>
      </w:pPr>
      <w:r>
        <w:t xml:space="preserve">Keep clients coming back — memberships, loyalty, reviews/reputation, referrals (this is the pillar closest to “loyalty programme” in the original brief)</w:t>
      </w:r>
    </w:p>
    <w:p>
      <w:pPr>
        <w:pStyle w:val="ListParagraph"/>
        <w:numPr>
          <w:ilvl w:val="0"/>
          <w:numId w:val="1"/>
        </w:numPr>
        <w:spacing w:after="90" w:line="280"/>
      </w:pPr>
      <w:r>
        <w:t xml:space="preserve">After the visit — marketing/email, reports/P&amp;L, payroll hand-off, journeys (automation)</w:t>
      </w:r>
    </w:p>
    <w:p>
      <w:pPr>
        <w:pStyle w:val="ListParagraph"/>
        <w:numPr>
          <w:ilvl w:val="0"/>
          <w:numId w:val="1"/>
        </w:numPr>
        <w:spacing w:after="90" w:line="280"/>
      </w:pPr>
      <w:r>
        <w:t xml:space="preserve">Running the shop — team/permissions, client portal</w:t>
      </w:r>
    </w:p>
    <w:p>
      <w:pPr>
        <w:pStyle w:val="Heading1"/>
        <w:spacing w:after="160" w:before="360"/>
      </w:pPr>
      <w:r>
        <w:t xml:space="preserve">Method — what was actually tested</w:t>
      </w:r>
    </w:p>
    <w:p>
      <w:pPr>
        <w:spacing w:after="160" w:line="300"/>
      </w:pPr>
      <w:r>
        <w:t xml:space="preserve">Every page below was fetched and read in full, and every demo widget the site itself invites you to interact with was clicked, not just read about:</w:t>
      </w:r>
    </w:p>
    <w:p>
      <w:pPr>
        <w:pStyle w:val="ListParagraph"/>
        <w:numPr>
          <w:ilvl w:val="0"/>
          <w:numId w:val="1"/>
        </w:numPr>
        <w:spacing w:after="90" w:line="280"/>
      </w:pPr>
      <w:r>
        <w:t xml:space="preserve">All 21 individual /features/* detail pages, the /features overview, /pricing, /roadmap, /blog, /changelog, /login and /signup screens.</w:t>
      </w:r>
    </w:p>
    <w:p>
      <w:pPr>
        <w:pStyle w:val="ListParagraph"/>
        <w:numPr>
          <w:ilvl w:val="0"/>
          <w:numId w:val="1"/>
        </w:numPr>
        <w:spacing w:after="90" w:line="280"/>
      </w:pPr>
      <w:r>
        <w:rPr>
          <w:b/>
          <w:bCs/>
        </w:rPr>
        <w:t xml:space="preserve">Booked a full appointment end-to-end </w:t>
      </w:r>
      <w:r>
        <w:t xml:space="preserve">in the homepage's live demo: added 3 services, picked a date/time, chose a stylist, filled details, and confirmed — the flow completed cleanly with a correct running total ($355, 3 services, 3h45m) at every step.</w:t>
      </w:r>
    </w:p>
    <w:p>
      <w:pPr>
        <w:pStyle w:val="ListParagraph"/>
        <w:numPr>
          <w:ilvl w:val="0"/>
          <w:numId w:val="1"/>
        </w:numPr>
        <w:spacing w:after="90" w:line="280"/>
      </w:pPr>
      <w:r>
        <w:rPr>
          <w:b/>
          <w:bCs/>
        </w:rPr>
        <w:t xml:space="preserve">Added items to the live shop cart </w:t>
      </w:r>
      <w:r>
        <w:t xml:space="preserve">and watched stock counts decrement in real time (12→11, 20→19) — confirms the “one inventory, everywhere” claim actually renders correctly, not just in copy.</w:t>
      </w:r>
    </w:p>
    <w:p>
      <w:pPr>
        <w:pStyle w:val="ListParagraph"/>
        <w:numPr>
          <w:ilvl w:val="0"/>
          <w:numId w:val="1"/>
        </w:numPr>
        <w:spacing w:after="90" w:line="280"/>
      </w:pPr>
      <w:r>
        <w:rPr>
          <w:b/>
          <w:bCs/>
        </w:rPr>
        <w:t xml:space="preserve">Drove the embedded admin-dashboard demo </w:t>
      </w:r>
      <w:r>
        <w:t xml:space="preserve">through Dashboard, Calendar, Clients, Inventory and Reports tabs, and drag-rescheduled an appointment on the calendar.</w:t>
      </w:r>
    </w:p>
    <w:p>
      <w:pPr>
        <w:pStyle w:val="ListParagraph"/>
        <w:numPr>
          <w:ilvl w:val="0"/>
          <w:numId w:val="1"/>
        </w:numPr>
        <w:spacing w:after="90" w:line="280"/>
      </w:pPr>
      <w:r>
        <w:rPr>
          <w:b/>
          <w:bCs/>
        </w:rPr>
        <w:t xml:space="preserve">Toggled the Monthly/Annual pricing switch </w:t>
      </w:r>
      <w:r>
        <w:t xml:space="preserve">on both the homepage and the dedicated pricing page and cross-checked the numbers (S$20↔S$25 Solo, S$55↔S$65 Growth) — consistent once the toggle state is accounted for.</w:t>
      </w:r>
    </w:p>
    <w:p>
      <w:pPr>
        <w:spacing w:after="160" w:line="300"/>
      </w:pPr>
      <w:r>
        <w:t xml:space="preserve">This is a marketing site for a product, not the product's admin console itself — the real back-office (calendar drag-and-drop at scale, actual payroll runs, real client data) sits behind a login this review didn't create an account for. Everything reported below is what the public site itself shows, demos, and claims.</w:t>
      </w:r>
    </w:p>
    <w:p>
      <w:pPr>
        <w:pStyle w:val="Heading1"/>
        <w:spacing w:after="160" w:before="360"/>
      </w:pPr>
      <w:r>
        <w:t xml:space="preserve">Complete feature inventory</w:t>
      </w:r>
    </w:p>
    <w:p>
      <w:pPr>
        <w:spacing w:after="160" w:line="300"/>
      </w:pPr>
      <w:r>
        <w:t xml:space="preserve">One row per feature, in the platform's own grouping, with plan gating and a one-line description drawn directly from verified page content — not paraphrased marketing copy.</w:t>
      </w:r>
    </w:p>
    <w:p>
      <w:pPr>
        <w:pStyle w:val="Heading2"/>
        <w:spacing w:after="120" w:before="260"/>
      </w:pPr>
      <w:r>
        <w:t xml:space="preserve">1. What your clients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8A6E4B" w:val="clear"/>
            <w:tcMar>
              <w:top w:type="dxa" w:w="90"/>
              <w:left w:type="dxa" w:w="100"/>
              <w:bottom w:type="dxa" w:w="90"/>
              <w:right w:type="dxa" w:w="100"/>
            </w:tcMar>
            <w:vAlign w:val="center"/>
          </w:tcPr>
          <w:p>
            <w:r>
              <w:rPr>
                <w:b/>
                <w:bCs/>
                <w:color w:val="FFFFFF"/>
                <w:sz w:val="19"/>
                <w:szCs w:val="19"/>
              </w:rPr>
              <w:t xml:space="preserve">Feature</w:t>
            </w:r>
          </w:p>
        </w:tc>
        <w:tc>
          <w:tcPr>
            <w:tcW w:type="dxa" w:w="2200"/>
            <w:shd w:fill="8A6E4B" w:val="clear"/>
            <w:tcMar>
              <w:top w:type="dxa" w:w="90"/>
              <w:left w:type="dxa" w:w="100"/>
              <w:bottom w:type="dxa" w:w="90"/>
              <w:right w:type="dxa" w:w="100"/>
            </w:tcMar>
            <w:vAlign w:val="center"/>
          </w:tcPr>
          <w:p>
            <w:r>
              <w:rPr>
                <w:b/>
                <w:bCs/>
                <w:color w:val="FFFFFF"/>
                <w:sz w:val="19"/>
                <w:szCs w:val="19"/>
              </w:rPr>
              <w:t xml:space="preserve">Plan</w:t>
            </w:r>
          </w:p>
        </w:tc>
        <w:tc>
          <w:tcPr>
            <w:tcW w:type="dxa" w:w="5000"/>
            <w:shd w:fill="8A6E4B" w:val="clear"/>
            <w:tcMar>
              <w:top w:type="dxa" w:w="90"/>
              <w:left w:type="dxa" w:w="100"/>
              <w:bottom w:type="dxa" w:w="90"/>
              <w:right w:type="dxa" w:w="100"/>
            </w:tcMar>
            <w:vAlign w:val="center"/>
          </w:tcPr>
          <w:p>
            <w:r>
              <w:rPr>
                <w:b/>
                <w:bCs/>
                <w:color w:val="FFFFFF"/>
                <w:sz w:val="19"/>
                <w:szCs w:val="19"/>
              </w:rPr>
              <w:t xml:space="preserve">What it actually does (verified on site)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Online booking</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Mobile-first public booking page; multi-service basket, package support, size/option variants, branch-aware picker, live slot engine checked against branch hours, staff hours, time-off, and existing bookings.</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Intake + consent forms</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 (auto-send tuning is Growth per plan chart)</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6 field types, 3 starter templates, typed-name e-signature with disclaimer + timestamp, auto-emailed on booking, dedupes for series/bundles, red badge (not a block) when incomplete.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Booking policies</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4 presets (Flexible/Fair/Moderate/Firm) or custom cancel/reschedule cutoffs and flat-or-percent late-cancel/no-show fees; fee shown to client before they confirm; fee posts as an owed balance today, auto-charge once Stripe Connect is live.</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Website builder</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 (custom domain is Growth)</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8 vertical-tuned templates, section on/off toggles, live data blocks (services/team/hours/reviews), free subdomain from signup, Growth adds custom domain.</w:t>
            </w:r>
          </w:p>
        </w:tc>
      </w:tr>
    </w:tbl>
    <w:p>
      <w:pPr>
        <w:spacing w:after="160"/>
      </w:pPr>
    </w:p>
    <w:p>
      <w:pPr>
        <w:pStyle w:val="Heading2"/>
        <w:spacing w:after="120" w:before="260"/>
      </w:pPr>
      <w:r>
        <w:t xml:space="preserve">2. Running the day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8A6E4B" w:val="clear"/>
            <w:tcMar>
              <w:top w:type="dxa" w:w="90"/>
              <w:left w:type="dxa" w:w="100"/>
              <w:bottom w:type="dxa" w:w="90"/>
              <w:right w:type="dxa" w:w="100"/>
            </w:tcMar>
            <w:vAlign w:val="center"/>
          </w:tcPr>
          <w:p>
            <w:r>
              <w:rPr>
                <w:b/>
                <w:bCs/>
                <w:color w:val="FFFFFF"/>
                <w:sz w:val="19"/>
                <w:szCs w:val="19"/>
              </w:rPr>
              <w:t xml:space="preserve">Feature</w:t>
            </w:r>
          </w:p>
        </w:tc>
        <w:tc>
          <w:tcPr>
            <w:tcW w:type="dxa" w:w="2200"/>
            <w:shd w:fill="8A6E4B" w:val="clear"/>
            <w:tcMar>
              <w:top w:type="dxa" w:w="90"/>
              <w:left w:type="dxa" w:w="100"/>
              <w:bottom w:type="dxa" w:w="90"/>
              <w:right w:type="dxa" w:w="100"/>
            </w:tcMar>
            <w:vAlign w:val="center"/>
          </w:tcPr>
          <w:p>
            <w:r>
              <w:rPr>
                <w:b/>
                <w:bCs/>
                <w:color w:val="FFFFFF"/>
                <w:sz w:val="19"/>
                <w:szCs w:val="19"/>
              </w:rPr>
              <w:t xml:space="preserve">Plan</w:t>
            </w:r>
          </w:p>
        </w:tc>
        <w:tc>
          <w:tcPr>
            <w:tcW w:type="dxa" w:w="5000"/>
            <w:shd w:fill="8A6E4B" w:val="clear"/>
            <w:tcMar>
              <w:top w:type="dxa" w:w="90"/>
              <w:left w:type="dxa" w:w="100"/>
              <w:bottom w:type="dxa" w:w="90"/>
              <w:right w:type="dxa" w:w="100"/>
            </w:tcMar>
            <w:vAlign w:val="center"/>
          </w:tcPr>
          <w:p>
            <w:r>
              <w:rPr>
                <w:b/>
                <w:bCs/>
                <w:color w:val="FFFFFF"/>
                <w:sz w:val="19"/>
                <w:szCs w:val="19"/>
              </w:rPr>
              <w:t xml:space="preserve">What it actually does (verified on site)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Calendar + scheduling</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Day/Week/Month views, drag-to-move/resize, status- or staff-colour modes, multi-branch with per-branch hours/inventory/tax, split shifts, processing-time chair holds, room/equipment resources, one-way iCal + Google sync (per-staff sync is Growth).</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Unified waitlist</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Single list for online wait-listers and walk-ins; auto-match on cancellation with a 2-hour claim link; race-safe (only one claimant can win a freed slot).</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Promotions</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Auto-apply or code-gated discounts, % or flat, scoped to all/specific/category/bundle, with total-use, per-client, and minimum-basket caps enforced server-side; only the largest matching discount applies (no stacking).</w:t>
            </w:r>
          </w:p>
        </w:tc>
      </w:tr>
    </w:tbl>
    <w:p>
      <w:pPr>
        <w:spacing w:after="160"/>
      </w:pPr>
    </w:p>
    <w:p>
      <w:pPr>
        <w:pStyle w:val="Heading2"/>
        <w:spacing w:after="120" w:before="260"/>
      </w:pPr>
      <w:r>
        <w:t xml:space="preserve">3. Money + stock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8A6E4B" w:val="clear"/>
            <w:tcMar>
              <w:top w:type="dxa" w:w="90"/>
              <w:left w:type="dxa" w:w="100"/>
              <w:bottom w:type="dxa" w:w="90"/>
              <w:right w:type="dxa" w:w="100"/>
            </w:tcMar>
            <w:vAlign w:val="center"/>
          </w:tcPr>
          <w:p>
            <w:r>
              <w:rPr>
                <w:b/>
                <w:bCs/>
                <w:color w:val="FFFFFF"/>
                <w:sz w:val="19"/>
                <w:szCs w:val="19"/>
              </w:rPr>
              <w:t xml:space="preserve">Feature</w:t>
            </w:r>
          </w:p>
        </w:tc>
        <w:tc>
          <w:tcPr>
            <w:tcW w:type="dxa" w:w="2200"/>
            <w:shd w:fill="8A6E4B" w:val="clear"/>
            <w:tcMar>
              <w:top w:type="dxa" w:w="90"/>
              <w:left w:type="dxa" w:w="100"/>
              <w:bottom w:type="dxa" w:w="90"/>
              <w:right w:type="dxa" w:w="100"/>
            </w:tcMar>
            <w:vAlign w:val="center"/>
          </w:tcPr>
          <w:p>
            <w:r>
              <w:rPr>
                <w:b/>
                <w:bCs/>
                <w:color w:val="FFFFFF"/>
                <w:sz w:val="19"/>
                <w:szCs w:val="19"/>
              </w:rPr>
              <w:t xml:space="preserve">Plan</w:t>
            </w:r>
          </w:p>
        </w:tc>
        <w:tc>
          <w:tcPr>
            <w:tcW w:type="dxa" w:w="5000"/>
            <w:shd w:fill="8A6E4B" w:val="clear"/>
            <w:tcMar>
              <w:top w:type="dxa" w:w="90"/>
              <w:left w:type="dxa" w:w="100"/>
              <w:bottom w:type="dxa" w:w="90"/>
              <w:right w:type="dxa" w:w="100"/>
            </w:tcMar>
            <w:vAlign w:val="center"/>
          </w:tcPr>
          <w:p>
            <w:r>
              <w:rPr>
                <w:b/>
                <w:bCs/>
                <w:color w:val="FFFFFF"/>
                <w:sz w:val="19"/>
                <w:szCs w:val="19"/>
              </w:rPr>
              <w:t xml:space="preserve">What it actually does (verified on site)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Inventory</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Auto-deduction on appointment completion, per-batch expiry with FEFO (soonest-expiry-first) drain, committed-stock visibility, service/retail/both item types, per-branch or shared stock, CSV import/export, lot-number recall support.</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Payments + POS</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Tips (presets + split by staff), multi-tender splits (cash/card/credit/deposit), in-store credit ledger with optional expiry and FEFO drain, refunds by item/method/staff with proportional commission claw-back, per-branch cash drawer with 10-currency denomination counting.</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Gift cards</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 (online sale gated to Singapore)</w:t>
            </w:r>
          </w:p>
        </w:tc>
        <w:tc>
          <w:tcPr>
            <w:tcW w:type="dxa" w:w="5000"/>
            <w:tcMar>
              <w:top w:type="dxa" w:w="80"/>
              <w:left w:type="dxa" w:w="100"/>
              <w:bottom w:type="dxa" w:w="80"/>
              <w:right w:type="dxa" w:w="100"/>
            </w:tcMar>
            <w:vAlign w:val="center"/>
          </w:tcPr>
          <w:p>
            <w:pPr>
              <w:jc w:val="left"/>
            </w:pPr>
            <w:r>
              <w:rPr>
                <w:b w:val="false"/>
                <w:bCs w:val="false"/>
                <w:sz w:val="19"/>
                <w:szCs w:val="19"/>
              </w:rPr>
              <w:t xml:space="preserve">Sell in person on every plan/region; unique code + balance; redeems as a tender on appointments, Quick Sale, and the storefront; partial redemption keeps the remainder; recognised as a liability until spent, not at sale.</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Retail storefront</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 (live card checkout gated to Singapore)</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Turns existing inventory into an online Shop section; one stock count for desk and web; storefront orders post to revenue/P&amp;L like any other sale.</w:t>
            </w:r>
          </w:p>
        </w:tc>
      </w:tr>
    </w:tbl>
    <w:p>
      <w:pPr>
        <w:spacing w:after="160"/>
      </w:pPr>
    </w:p>
    <w:p>
      <w:pPr>
        <w:pStyle w:val="Heading2"/>
        <w:spacing w:after="120" w:before="260"/>
      </w:pPr>
      <w:r>
        <w:t xml:space="preserve">4. Keep clients coming back (the loyalty layer)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8A6E4B" w:val="clear"/>
            <w:tcMar>
              <w:top w:type="dxa" w:w="90"/>
              <w:left w:type="dxa" w:w="100"/>
              <w:bottom w:type="dxa" w:w="90"/>
              <w:right w:type="dxa" w:w="100"/>
            </w:tcMar>
            <w:vAlign w:val="center"/>
          </w:tcPr>
          <w:p>
            <w:r>
              <w:rPr>
                <w:b/>
                <w:bCs/>
                <w:color w:val="FFFFFF"/>
                <w:sz w:val="19"/>
                <w:szCs w:val="19"/>
              </w:rPr>
              <w:t xml:space="preserve">Feature</w:t>
            </w:r>
          </w:p>
        </w:tc>
        <w:tc>
          <w:tcPr>
            <w:tcW w:type="dxa" w:w="2200"/>
            <w:shd w:fill="8A6E4B" w:val="clear"/>
            <w:tcMar>
              <w:top w:type="dxa" w:w="90"/>
              <w:left w:type="dxa" w:w="100"/>
              <w:bottom w:type="dxa" w:w="90"/>
              <w:right w:type="dxa" w:w="100"/>
            </w:tcMar>
            <w:vAlign w:val="center"/>
          </w:tcPr>
          <w:p>
            <w:r>
              <w:rPr>
                <w:b/>
                <w:bCs/>
                <w:color w:val="FFFFFF"/>
                <w:sz w:val="19"/>
                <w:szCs w:val="19"/>
              </w:rPr>
              <w:t xml:space="preserve">Plan</w:t>
            </w:r>
          </w:p>
        </w:tc>
        <w:tc>
          <w:tcPr>
            <w:tcW w:type="dxa" w:w="5000"/>
            <w:shd w:fill="8A6E4B" w:val="clear"/>
            <w:tcMar>
              <w:top w:type="dxa" w:w="90"/>
              <w:left w:type="dxa" w:w="100"/>
              <w:bottom w:type="dxa" w:w="90"/>
              <w:right w:type="dxa" w:w="100"/>
            </w:tcMar>
            <w:vAlign w:val="center"/>
          </w:tcPr>
          <w:p>
            <w:r>
              <w:rPr>
                <w:b/>
                <w:bCs/>
                <w:color w:val="FFFFFF"/>
                <w:sz w:val="19"/>
                <w:szCs w:val="19"/>
              </w:rPr>
              <w:t xml:space="preserve">What it actually does (verified on site)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Memberships</w:t>
            </w:r>
          </w:p>
        </w:tc>
        <w:tc>
          <w:tcPr>
            <w:tcW w:type="dxa" w:w="2200"/>
            <w:tcMar>
              <w:top w:type="dxa" w:w="80"/>
              <w:left w:type="dxa" w:w="100"/>
              <w:bottom w:type="dxa" w:w="80"/>
              <w:right w:type="dxa" w:w="100"/>
            </w:tcMar>
            <w:vAlign w:val="center"/>
          </w:tcPr>
          <w:p>
            <w:pPr>
              <w:jc w:val="left"/>
            </w:pPr>
            <w:r>
              <w:rPr>
                <w:b w:val="false"/>
                <w:bCs w:val="false"/>
                <w:sz w:val="19"/>
                <w:szCs w:val="19"/>
              </w:rPr>
              <w:t xml:space="preserve">Growth</w:t>
            </w:r>
          </w:p>
        </w:tc>
        <w:tc>
          <w:tcPr>
            <w:tcW w:type="dxa" w:w="5000"/>
            <w:tcMar>
              <w:top w:type="dxa" w:w="80"/>
              <w:left w:type="dxa" w:w="100"/>
              <w:bottom w:type="dxa" w:w="80"/>
              <w:right w:type="dxa" w:w="100"/>
            </w:tcMar>
            <w:vAlign w:val="center"/>
          </w:tcPr>
          <w:p>
            <w:pPr>
              <w:jc w:val="left"/>
            </w:pPr>
            <w:r>
              <w:rPr>
                <w:b w:val="false"/>
                <w:bCs w:val="false"/>
                <w:sz w:val="19"/>
                <w:szCs w:val="19"/>
              </w:rPr>
              <w:t xml:space="preserve">Recurring monthly/annual plans with a scoped service-credit pool, optional rollover, and a non-stacking member discount; manual billing everywhere, Stripe auto-charge with dunning in Singapore today.</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Loyalty</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Growth</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Points-per-dollar or stamp-card programs, free to join; redemption mints real in-store credit (not “vanity” points); 3 expiry modes (never / inactivity-reset / fixed-from-earn); earns automatically on completed visits and Quick Sales.</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Reviews + reputation</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Post-visit rating gate: 4–5 stars routes to the salon's public Google listing (per-branch destinations supported); 1–3 stars routes to a private feedback inbox instead of going public.</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Referrals</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 (per plan chart)</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Every client gets a personal code; reward (in-store credit) fires only after the referred client's first completed visit clears an optional minimum spend — self-funding by design, not gameable by dead bookings.</w:t>
            </w:r>
          </w:p>
        </w:tc>
      </w:tr>
    </w:tbl>
    <w:p>
      <w:pPr>
        <w:spacing w:after="160"/>
      </w:pPr>
    </w:p>
    <w:p>
      <w:pPr>
        <w:pStyle w:val="Heading2"/>
        <w:spacing w:after="120" w:before="260"/>
      </w:pPr>
      <w:r>
        <w:t xml:space="preserve">5. After the visit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8A6E4B" w:val="clear"/>
            <w:tcMar>
              <w:top w:type="dxa" w:w="90"/>
              <w:left w:type="dxa" w:w="100"/>
              <w:bottom w:type="dxa" w:w="90"/>
              <w:right w:type="dxa" w:w="100"/>
            </w:tcMar>
            <w:vAlign w:val="center"/>
          </w:tcPr>
          <w:p>
            <w:r>
              <w:rPr>
                <w:b/>
                <w:bCs/>
                <w:color w:val="FFFFFF"/>
                <w:sz w:val="19"/>
                <w:szCs w:val="19"/>
              </w:rPr>
              <w:t xml:space="preserve">Feature</w:t>
            </w:r>
          </w:p>
        </w:tc>
        <w:tc>
          <w:tcPr>
            <w:tcW w:type="dxa" w:w="2200"/>
            <w:shd w:fill="8A6E4B" w:val="clear"/>
            <w:tcMar>
              <w:top w:type="dxa" w:w="90"/>
              <w:left w:type="dxa" w:w="100"/>
              <w:bottom w:type="dxa" w:w="90"/>
              <w:right w:type="dxa" w:w="100"/>
            </w:tcMar>
            <w:vAlign w:val="center"/>
          </w:tcPr>
          <w:p>
            <w:r>
              <w:rPr>
                <w:b/>
                <w:bCs/>
                <w:color w:val="FFFFFF"/>
                <w:sz w:val="19"/>
                <w:szCs w:val="19"/>
              </w:rPr>
              <w:t xml:space="preserve">Plan</w:t>
            </w:r>
          </w:p>
        </w:tc>
        <w:tc>
          <w:tcPr>
            <w:tcW w:type="dxa" w:w="5000"/>
            <w:shd w:fill="8A6E4B" w:val="clear"/>
            <w:tcMar>
              <w:top w:type="dxa" w:w="90"/>
              <w:left w:type="dxa" w:w="100"/>
              <w:bottom w:type="dxa" w:w="90"/>
              <w:right w:type="dxa" w:w="100"/>
            </w:tcMar>
            <w:vAlign w:val="center"/>
          </w:tcPr>
          <w:p>
            <w:r>
              <w:rPr>
                <w:b/>
                <w:bCs/>
                <w:color w:val="FFFFFF"/>
                <w:sz w:val="19"/>
                <w:szCs w:val="19"/>
              </w:rPr>
              <w:t xml:space="preserve">What it actually does (verified on site)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Marketing + email</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 (4 smart automations are Growth)</w:t>
            </w:r>
          </w:p>
        </w:tc>
        <w:tc>
          <w:tcPr>
            <w:tcW w:type="dxa" w:w="5000"/>
            <w:tcMar>
              <w:top w:type="dxa" w:w="80"/>
              <w:left w:type="dxa" w:w="100"/>
              <w:bottom w:type="dxa" w:w="80"/>
              <w:right w:type="dxa" w:w="100"/>
            </w:tcMar>
            <w:vAlign w:val="center"/>
          </w:tcPr>
          <w:p>
            <w:pPr>
              <w:jc w:val="left"/>
            </w:pPr>
            <w:r>
              <w:rPr>
                <w:b w:val="false"/>
                <w:bCs w:val="false"/>
                <w:sz w:val="19"/>
                <w:szCs w:val="19"/>
              </w:rPr>
              <w:t xml:space="preserve">Segmented broadcasts (by last visit, service, staff, gender, opt-in), birthday auto-send, and a full send log with bounce/complaint handling. Win-back, post-visit review, anniversary and expiring-credit sends are Growth-only automations.</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Reports + P&amp;L</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Owner-readable P&amp;L (revenue → COGS → margin → opex → net) with a prior-year comparison column; Commissions/Tips/Tax tabs; date-range presets; CSV export on every list, filters included.</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Payroll hand-off</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tcMar>
              <w:top w:type="dxa" w:w="80"/>
              <w:left w:type="dxa" w:w="100"/>
              <w:bottom w:type="dxa" w:w="80"/>
              <w:right w:type="dxa" w:w="100"/>
            </w:tcMar>
            <w:vAlign w:val="center"/>
          </w:tcPr>
          <w:p>
            <w:pPr>
              <w:jc w:val="left"/>
            </w:pPr>
            <w:r>
              <w:rPr>
                <w:b w:val="false"/>
                <w:bCs w:val="false"/>
                <w:sz w:val="19"/>
                <w:szCs w:val="19"/>
              </w:rPr>
              <w:t xml:space="preserve">Per-staff base, commission (service/retail/package split), tips and clocked hours; Generic CSV plus a Talenox-formatted CSV; native payroll integrations are roadmap, not yet shipped, for any region.</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Journeys</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Growth</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Trigger → wait → branch → action automation builder (8 triggers, 6 step types incl. grant-credit and notify-staff); replaced the old fixed “smart campaigns,” which now live inside it as editable starting paths.</w:t>
            </w:r>
          </w:p>
        </w:tc>
      </w:tr>
    </w:tbl>
    <w:p>
      <w:pPr>
        <w:spacing w:after="160"/>
      </w:pPr>
    </w:p>
    <w:p>
      <w:pPr>
        <w:pStyle w:val="Heading2"/>
        <w:spacing w:after="120" w:before="260"/>
      </w:pPr>
      <w:r>
        <w:t xml:space="preserve">6. Running the shop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8A6E4B" w:val="clear"/>
            <w:tcMar>
              <w:top w:type="dxa" w:w="90"/>
              <w:left w:type="dxa" w:w="100"/>
              <w:bottom w:type="dxa" w:w="90"/>
              <w:right w:type="dxa" w:w="100"/>
            </w:tcMar>
            <w:vAlign w:val="center"/>
          </w:tcPr>
          <w:p>
            <w:r>
              <w:rPr>
                <w:b/>
                <w:bCs/>
                <w:color w:val="FFFFFF"/>
                <w:sz w:val="19"/>
                <w:szCs w:val="19"/>
              </w:rPr>
              <w:t xml:space="preserve">Feature</w:t>
            </w:r>
          </w:p>
        </w:tc>
        <w:tc>
          <w:tcPr>
            <w:tcW w:type="dxa" w:w="2200"/>
            <w:shd w:fill="8A6E4B" w:val="clear"/>
            <w:tcMar>
              <w:top w:type="dxa" w:w="90"/>
              <w:left w:type="dxa" w:w="100"/>
              <w:bottom w:type="dxa" w:w="90"/>
              <w:right w:type="dxa" w:w="100"/>
            </w:tcMar>
            <w:vAlign w:val="center"/>
          </w:tcPr>
          <w:p>
            <w:r>
              <w:rPr>
                <w:b/>
                <w:bCs/>
                <w:color w:val="FFFFFF"/>
                <w:sz w:val="19"/>
                <w:szCs w:val="19"/>
              </w:rPr>
              <w:t xml:space="preserve">Plan</w:t>
            </w:r>
          </w:p>
        </w:tc>
        <w:tc>
          <w:tcPr>
            <w:tcW w:type="dxa" w:w="5000"/>
            <w:shd w:fill="8A6E4B" w:val="clear"/>
            <w:tcMar>
              <w:top w:type="dxa" w:w="90"/>
              <w:left w:type="dxa" w:w="100"/>
              <w:bottom w:type="dxa" w:w="90"/>
              <w:right w:type="dxa" w:w="100"/>
            </w:tcMar>
            <w:vAlign w:val="center"/>
          </w:tcPr>
          <w:p>
            <w:r>
              <w:rPr>
                <w:b/>
                <w:bCs/>
                <w:color w:val="FFFFFF"/>
                <w:sz w:val="19"/>
                <w:szCs w:val="19"/>
              </w:rPr>
              <w:t xml:space="preserve">What it actually does (verified on site)</w:t>
            </w:r>
          </w:p>
        </w:tc>
      </w:tr>
      <w:tr>
        <w:tc>
          <w:tcPr>
            <w:tcW w:type="dxa" w:w="2400"/>
            <w:tcMar>
              <w:top w:type="dxa" w:w="80"/>
              <w:left w:type="dxa" w:w="100"/>
              <w:bottom w:type="dxa" w:w="80"/>
              <w:right w:type="dxa" w:w="100"/>
            </w:tcMar>
            <w:vAlign w:val="center"/>
          </w:tcPr>
          <w:p>
            <w:pPr>
              <w:jc w:val="left"/>
            </w:pPr>
            <w:r>
              <w:rPr>
                <w:b w:val="false"/>
                <w:bCs w:val="false"/>
                <w:sz w:val="19"/>
                <w:szCs w:val="19"/>
              </w:rPr>
              <w:t xml:space="preserve">Team + permissions</w:t>
            </w:r>
          </w:p>
        </w:tc>
        <w:tc>
          <w:tcPr>
            <w:tcW w:type="dxa" w:w="2200"/>
            <w:tcMar>
              <w:top w:type="dxa" w:w="80"/>
              <w:left w:type="dxa" w:w="100"/>
              <w:bottom w:type="dxa" w:w="80"/>
              <w:right w:type="dxa" w:w="100"/>
            </w:tcMar>
            <w:vAlign w:val="center"/>
          </w:tcPr>
          <w:p>
            <w:pPr>
              <w:jc w:val="left"/>
            </w:pPr>
            <w:r>
              <w:rPr>
                <w:b w:val="false"/>
                <w:bCs w:val="false"/>
                <w:sz w:val="19"/>
                <w:szCs w:val="19"/>
              </w:rPr>
              <w:t xml:space="preserve">Solo (1 login) / Growth (multi-login)</w:t>
            </w:r>
          </w:p>
        </w:tc>
        <w:tc>
          <w:tcPr>
            <w:tcW w:type="dxa" w:w="5000"/>
            <w:tcMar>
              <w:top w:type="dxa" w:w="80"/>
              <w:left w:type="dxa" w:w="100"/>
              <w:bottom w:type="dxa" w:w="80"/>
              <w:right w:type="dxa" w:w="100"/>
            </w:tcMar>
            <w:vAlign w:val="center"/>
          </w:tcPr>
          <w:p>
            <w:pPr>
              <w:jc w:val="left"/>
            </w:pPr>
            <w:r>
              <w:rPr>
                <w:b w:val="false"/>
                <w:bCs w:val="false"/>
                <w:sz w:val="19"/>
                <w:szCs w:val="19"/>
              </w:rPr>
              <w:t xml:space="preserve">5 default roles (Owner/Manager/Receptionist/Bookkeeper/Staff) with per-person override toggles; clock-in/out timesheets; per-branch working hours and time off.</w:t>
            </w:r>
          </w:p>
        </w:tc>
      </w:tr>
      <w:tr>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Client portal</w:t>
            </w:r>
          </w:p>
        </w:tc>
        <w:tc>
          <w:tcPr>
            <w:tcW w:type="dxa" w:w="2200"/>
            <w:shd w:fill="F4F1EC" w:val="clear"/>
            <w:tcMar>
              <w:top w:type="dxa" w:w="80"/>
              <w:left w:type="dxa" w:w="100"/>
              <w:bottom w:type="dxa" w:w="80"/>
              <w:right w:type="dxa" w:w="100"/>
            </w:tcMar>
            <w:vAlign w:val="center"/>
          </w:tcPr>
          <w:p>
            <w:pPr>
              <w:jc w:val="left"/>
            </w:pPr>
            <w:r>
              <w:rPr>
                <w:b w:val="false"/>
                <w:bCs w:val="false"/>
                <w:sz w:val="19"/>
                <w:szCs w:val="19"/>
              </w:rPr>
              <w:t xml:space="preserve">Solo+</w:t>
            </w:r>
          </w:p>
        </w:tc>
        <w:tc>
          <w:tcPr>
            <w:tcW w:type="dxa" w:w="5000"/>
            <w:shd w:fill="F4F1EC" w:val="clear"/>
            <w:tcMar>
              <w:top w:type="dxa" w:w="80"/>
              <w:left w:type="dxa" w:w="100"/>
              <w:bottom w:type="dxa" w:w="80"/>
              <w:right w:type="dxa" w:w="100"/>
            </w:tcMar>
            <w:vAlign w:val="center"/>
          </w:tcPr>
          <w:p>
            <w:pPr>
              <w:jc w:val="left"/>
            </w:pPr>
            <w:r>
              <w:rPr>
                <w:b w:val="false"/>
                <w:bCs w:val="false"/>
                <w:sz w:val="19"/>
                <w:szCs w:val="19"/>
              </w:rPr>
              <w:t xml:space="preserve">Passwordless 6-digit email code sign-in; view/cancel/reschedule (auto-approve toggle or owner-review queue), package balances, PDF receipts; multi-salon clients pick which business to view.</w:t>
            </w:r>
          </w:p>
        </w:tc>
      </w:tr>
    </w:tbl>
    <w:p>
      <w:pPr>
        <w:spacing w:after="160"/>
      </w:pPr>
    </w:p>
    <w:p>
      <w:pPr>
        <w:pStyle w:val="Heading2"/>
        <w:spacing w:after="120" w:before="260"/>
      </w:pPr>
      <w:r>
        <w:t xml:space="preserve">Plans at a glance (founding pricing, first 100 salons)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100"/>
      </w:tblGrid>
      <w:tr>
        <w:trPr>
          <w:tblHeader/>
        </w:trPr>
        <w:tc>
          <w:tcPr>
            <w:tcW w:type="dxa" w:w="3400"/>
            <w:shd w:fill="8A6E4B" w:val="clear"/>
            <w:tcMar>
              <w:top w:type="dxa" w:w="90"/>
              <w:left w:type="dxa" w:w="100"/>
              <w:bottom w:type="dxa" w:w="90"/>
              <w:right w:type="dxa" w:w="100"/>
            </w:tcMar>
            <w:vAlign w:val="center"/>
          </w:tcPr>
          <w:p>
            <w:r>
              <w:rPr>
                <w:b/>
                <w:bCs/>
                <w:color w:val="FFFFFF"/>
                <w:sz w:val="19"/>
                <w:szCs w:val="19"/>
              </w:rPr>
              <w:t xml:space="preserve">What you get</w:t>
            </w:r>
          </w:p>
        </w:tc>
        <w:tc>
          <w:tcPr>
            <w:tcW w:type="dxa" w:w="3100"/>
            <w:shd w:fill="8A6E4B" w:val="clear"/>
            <w:tcMar>
              <w:top w:type="dxa" w:w="90"/>
              <w:left w:type="dxa" w:w="100"/>
              <w:bottom w:type="dxa" w:w="90"/>
              <w:right w:type="dxa" w:w="100"/>
            </w:tcMar>
            <w:vAlign w:val="center"/>
          </w:tcPr>
          <w:p>
            <w:r>
              <w:rPr>
                <w:b/>
                <w:bCs/>
                <w:color w:val="FFFFFF"/>
                <w:sz w:val="19"/>
                <w:szCs w:val="19"/>
              </w:rPr>
              <w:t xml:space="preserve">Solo — S$20/mo*</w:t>
            </w:r>
          </w:p>
        </w:tc>
        <w:tc>
          <w:tcPr>
            <w:tcW w:type="dxa" w:w="3100"/>
            <w:shd w:fill="8A6E4B" w:val="clear"/>
            <w:tcMar>
              <w:top w:type="dxa" w:w="90"/>
              <w:left w:type="dxa" w:w="100"/>
              <w:bottom w:type="dxa" w:w="90"/>
              <w:right w:type="dxa" w:w="100"/>
            </w:tcMar>
            <w:vAlign w:val="center"/>
          </w:tcPr>
          <w:p>
            <w:r>
              <w:rPr>
                <w:b/>
                <w:bCs/>
                <w:color w:val="FFFFFF"/>
                <w:sz w:val="19"/>
                <w:szCs w:val="19"/>
              </w:rPr>
              <w:t xml:space="preserve">Growth — S$55/mo*</w:t>
            </w:r>
          </w:p>
        </w:tc>
      </w:tr>
      <w:tr>
        <w:tc>
          <w:tcPr>
            <w:tcW w:type="dxa" w:w="3400"/>
            <w:tcMar>
              <w:top w:type="dxa" w:w="80"/>
              <w:left w:type="dxa" w:w="100"/>
              <w:bottom w:type="dxa" w:w="80"/>
              <w:right w:type="dxa" w:w="100"/>
            </w:tcMar>
            <w:vAlign w:val="center"/>
          </w:tcPr>
          <w:p>
            <w:pPr>
              <w:jc w:val="left"/>
            </w:pPr>
            <w:r>
              <w:rPr>
                <w:b w:val="false"/>
                <w:bCs w:val="false"/>
                <w:sz w:val="19"/>
                <w:szCs w:val="19"/>
              </w:rPr>
              <w:t xml:space="preserve">Branches</w:t>
            </w:r>
          </w:p>
        </w:tc>
        <w:tc>
          <w:tcPr>
            <w:tcW w:type="dxa" w:w="3100"/>
            <w:tcMar>
              <w:top w:type="dxa" w:w="80"/>
              <w:left w:type="dxa" w:w="100"/>
              <w:bottom w:type="dxa" w:w="80"/>
              <w:right w:type="dxa" w:w="100"/>
            </w:tcMar>
            <w:vAlign w:val="center"/>
          </w:tcPr>
          <w:p>
            <w:pPr>
              <w:jc w:val="left"/>
            </w:pPr>
            <w:r>
              <w:rPr>
                <w:b w:val="false"/>
                <w:bCs w:val="false"/>
                <w:sz w:val="19"/>
                <w:szCs w:val="19"/>
              </w:rPr>
              <w:t xml:space="preserve">1</w:t>
            </w:r>
          </w:p>
        </w:tc>
        <w:tc>
          <w:tcPr>
            <w:tcW w:type="dxa" w:w="3100"/>
            <w:tcMar>
              <w:top w:type="dxa" w:w="80"/>
              <w:left w:type="dxa" w:w="100"/>
              <w:bottom w:type="dxa" w:w="80"/>
              <w:right w:type="dxa" w:w="100"/>
            </w:tcMar>
            <w:vAlign w:val="center"/>
          </w:tcPr>
          <w:p>
            <w:pPr>
              <w:jc w:val="left"/>
            </w:pPr>
            <w:r>
              <w:rPr>
                <w:b w:val="false"/>
                <w:bCs w:val="false"/>
                <w:sz w:val="19"/>
                <w:szCs w:val="19"/>
              </w:rPr>
              <w:t xml:space="preserve">Multi-branch</w:t>
            </w:r>
          </w:p>
        </w:tc>
      </w:tr>
      <w:tr>
        <w:tc>
          <w:tcPr>
            <w:tcW w:type="dxa" w:w="3400"/>
            <w:shd w:fill="F4F1EC" w:val="clear"/>
            <w:tcMar>
              <w:top w:type="dxa" w:w="80"/>
              <w:left w:type="dxa" w:w="100"/>
              <w:bottom w:type="dxa" w:w="80"/>
              <w:right w:type="dxa" w:w="100"/>
            </w:tcMar>
            <w:vAlign w:val="center"/>
          </w:tcPr>
          <w:p>
            <w:pPr>
              <w:jc w:val="left"/>
            </w:pPr>
            <w:r>
              <w:rPr>
                <w:b w:val="false"/>
                <w:bCs w:val="false"/>
                <w:sz w:val="19"/>
                <w:szCs w:val="19"/>
              </w:rPr>
              <w:t xml:space="preserve">Staff / clients / appointments</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Unlimited</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Unlimited</w:t>
            </w:r>
          </w:p>
        </w:tc>
      </w:tr>
      <w:tr>
        <w:tc>
          <w:tcPr>
            <w:tcW w:type="dxa" w:w="3400"/>
            <w:tcMar>
              <w:top w:type="dxa" w:w="80"/>
              <w:left w:type="dxa" w:w="100"/>
              <w:bottom w:type="dxa" w:w="80"/>
              <w:right w:type="dxa" w:w="100"/>
            </w:tcMar>
            <w:vAlign w:val="center"/>
          </w:tcPr>
          <w:p>
            <w:pPr>
              <w:jc w:val="left"/>
            </w:pPr>
            <w:r>
              <w:rPr>
                <w:b w:val="false"/>
                <w:bCs w:val="false"/>
                <w:sz w:val="19"/>
                <w:szCs w:val="19"/>
              </w:rPr>
              <w:t xml:space="preserve">Team logins with roles</w:t>
            </w:r>
          </w:p>
        </w:tc>
        <w:tc>
          <w:tcPr>
            <w:tcW w:type="dxa" w:w="3100"/>
            <w:tcMar>
              <w:top w:type="dxa" w:w="80"/>
              <w:left w:type="dxa" w:w="100"/>
              <w:bottom w:type="dxa" w:w="80"/>
              <w:right w:type="dxa" w:w="100"/>
            </w:tcMar>
            <w:vAlign w:val="center"/>
          </w:tcPr>
          <w:p>
            <w:pPr>
              <w:jc w:val="left"/>
            </w:pPr>
            <w:r>
              <w:rPr>
                <w:b w:val="false"/>
                <w:bCs w:val="false"/>
                <w:sz w:val="19"/>
                <w:szCs w:val="19"/>
              </w:rPr>
              <w:t xml:space="preserve">—</w:t>
            </w:r>
          </w:p>
        </w:tc>
        <w:tc>
          <w:tcPr>
            <w:tcW w:type="dxa" w:w="3100"/>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3400"/>
            <w:shd w:fill="F4F1EC" w:val="clear"/>
            <w:tcMar>
              <w:top w:type="dxa" w:w="80"/>
              <w:left w:type="dxa" w:w="100"/>
              <w:bottom w:type="dxa" w:w="80"/>
              <w:right w:type="dxa" w:w="100"/>
            </w:tcMar>
            <w:vAlign w:val="center"/>
          </w:tcPr>
          <w:p>
            <w:pPr>
              <w:jc w:val="left"/>
            </w:pPr>
            <w:r>
              <w:rPr>
                <w:b w:val="false"/>
                <w:bCs w:val="false"/>
                <w:sz w:val="19"/>
                <w:szCs w:val="19"/>
              </w:rPr>
              <w:t xml:space="preserve">Google Calendar sync</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1 shared connection</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Per-staff</w:t>
            </w:r>
          </w:p>
        </w:tc>
      </w:tr>
      <w:tr>
        <w:tc>
          <w:tcPr>
            <w:tcW w:type="dxa" w:w="3400"/>
            <w:tcMar>
              <w:top w:type="dxa" w:w="80"/>
              <w:left w:type="dxa" w:w="100"/>
              <w:bottom w:type="dxa" w:w="80"/>
              <w:right w:type="dxa" w:w="100"/>
            </w:tcMar>
            <w:vAlign w:val="center"/>
          </w:tcPr>
          <w:p>
            <w:pPr>
              <w:jc w:val="left"/>
            </w:pPr>
            <w:r>
              <w:rPr>
                <w:b w:val="false"/>
                <w:bCs w:val="false"/>
                <w:sz w:val="19"/>
                <w:szCs w:val="19"/>
              </w:rPr>
              <w:t xml:space="preserve">Custom booking domain</w:t>
            </w:r>
          </w:p>
        </w:tc>
        <w:tc>
          <w:tcPr>
            <w:tcW w:type="dxa" w:w="3100"/>
            <w:tcMar>
              <w:top w:type="dxa" w:w="80"/>
              <w:left w:type="dxa" w:w="100"/>
              <w:bottom w:type="dxa" w:w="80"/>
              <w:right w:type="dxa" w:w="100"/>
            </w:tcMar>
            <w:vAlign w:val="center"/>
          </w:tcPr>
          <w:p>
            <w:pPr>
              <w:jc w:val="left"/>
            </w:pPr>
            <w:r>
              <w:rPr>
                <w:b w:val="false"/>
                <w:bCs w:val="false"/>
                <w:sz w:val="19"/>
                <w:szCs w:val="19"/>
              </w:rPr>
              <w:t xml:space="preserve">—</w:t>
            </w:r>
          </w:p>
        </w:tc>
        <w:tc>
          <w:tcPr>
            <w:tcW w:type="dxa" w:w="3100"/>
            <w:tcMar>
              <w:top w:type="dxa" w:w="80"/>
              <w:left w:type="dxa" w:w="100"/>
              <w:bottom w:type="dxa" w:w="80"/>
              <w:right w:type="dxa" w:w="100"/>
            </w:tcMar>
            <w:vAlign w:val="center"/>
          </w:tcPr>
          <w:p>
            <w:pPr>
              <w:jc w:val="left"/>
            </w:pPr>
            <w:r>
              <w:rPr>
                <w:b w:val="false"/>
                <w:bCs w:val="false"/>
                <w:sz w:val="19"/>
                <w:szCs w:val="19"/>
              </w:rPr>
              <w:t xml:space="preserve">✓ (book.yoursalon.com)</w:t>
            </w:r>
          </w:p>
        </w:tc>
      </w:tr>
      <w:tr>
        <w:tc>
          <w:tcPr>
            <w:tcW w:type="dxa" w:w="3400"/>
            <w:shd w:fill="F4F1EC" w:val="clear"/>
            <w:tcMar>
              <w:top w:type="dxa" w:w="80"/>
              <w:left w:type="dxa" w:w="100"/>
              <w:bottom w:type="dxa" w:w="80"/>
              <w:right w:type="dxa" w:w="100"/>
            </w:tcMar>
            <w:vAlign w:val="center"/>
          </w:tcPr>
          <w:p>
            <w:pPr>
              <w:jc w:val="left"/>
            </w:pPr>
            <w:r>
              <w:rPr>
                <w:b w:val="false"/>
                <w:bCs w:val="false"/>
                <w:sz w:val="19"/>
                <w:szCs w:val="19"/>
              </w:rPr>
              <w:t xml:space="preserve">Loyalty, Memberships, Journeys</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3400"/>
            <w:tcMar>
              <w:top w:type="dxa" w:w="80"/>
              <w:left w:type="dxa" w:w="100"/>
              <w:bottom w:type="dxa" w:w="80"/>
              <w:right w:type="dxa" w:w="100"/>
            </w:tcMar>
            <w:vAlign w:val="center"/>
          </w:tcPr>
          <w:p>
            <w:pPr>
              <w:jc w:val="left"/>
            </w:pPr>
            <w:r>
              <w:rPr>
                <w:b w:val="false"/>
                <w:bCs w:val="false"/>
                <w:sz w:val="19"/>
                <w:szCs w:val="19"/>
              </w:rPr>
              <w:t xml:space="preserve">Smart marketing automations</w:t>
            </w:r>
          </w:p>
        </w:tc>
        <w:tc>
          <w:tcPr>
            <w:tcW w:type="dxa" w:w="3100"/>
            <w:tcMar>
              <w:top w:type="dxa" w:w="80"/>
              <w:left w:type="dxa" w:w="100"/>
              <w:bottom w:type="dxa" w:w="80"/>
              <w:right w:type="dxa" w:w="100"/>
            </w:tcMar>
            <w:vAlign w:val="center"/>
          </w:tcPr>
          <w:p>
            <w:pPr>
              <w:jc w:val="left"/>
            </w:pPr>
            <w:r>
              <w:rPr>
                <w:b w:val="false"/>
                <w:bCs w:val="false"/>
                <w:sz w:val="19"/>
                <w:szCs w:val="19"/>
              </w:rPr>
              <w:t xml:space="preserve">—</w:t>
            </w:r>
          </w:p>
        </w:tc>
        <w:tc>
          <w:tcPr>
            <w:tcW w:type="dxa" w:w="3100"/>
            <w:tcMar>
              <w:top w:type="dxa" w:w="80"/>
              <w:left w:type="dxa" w:w="100"/>
              <w:bottom w:type="dxa" w:w="80"/>
              <w:right w:type="dxa" w:w="100"/>
            </w:tcMar>
            <w:vAlign w:val="center"/>
          </w:tcPr>
          <w:p>
            <w:pPr>
              <w:jc w:val="left"/>
            </w:pPr>
            <w:r>
              <w:rPr>
                <w:b w:val="false"/>
                <w:bCs w:val="false"/>
                <w:sz w:val="19"/>
                <w:szCs w:val="19"/>
              </w:rPr>
              <w:t xml:space="preserve">✓ (win-back, review, anniversary, expiring credit)</w:t>
            </w:r>
          </w:p>
        </w:tc>
      </w:tr>
      <w:tr>
        <w:tc>
          <w:tcPr>
            <w:tcW w:type="dxa" w:w="3400"/>
            <w:shd w:fill="F4F1EC" w:val="clear"/>
            <w:tcMar>
              <w:top w:type="dxa" w:w="80"/>
              <w:left w:type="dxa" w:w="100"/>
              <w:bottom w:type="dxa" w:w="80"/>
              <w:right w:type="dxa" w:w="100"/>
            </w:tcMar>
            <w:vAlign w:val="center"/>
          </w:tcPr>
          <w:p>
            <w:pPr>
              <w:jc w:val="left"/>
            </w:pPr>
            <w:r>
              <w:rPr>
                <w:b w:val="false"/>
                <w:bCs w:val="false"/>
                <w:sz w:val="19"/>
                <w:szCs w:val="19"/>
              </w:rPr>
              <w:t xml:space="preserve">Advanced / per-branch reports</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Standard reports</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3400"/>
            <w:tcMar>
              <w:top w:type="dxa" w:w="80"/>
              <w:left w:type="dxa" w:w="100"/>
              <w:bottom w:type="dxa" w:w="80"/>
              <w:right w:type="dxa" w:w="100"/>
            </w:tcMar>
            <w:vAlign w:val="center"/>
          </w:tcPr>
          <w:p>
            <w:pPr>
              <w:jc w:val="left"/>
            </w:pPr>
            <w:r>
              <w:rPr>
                <w:b w:val="false"/>
                <w:bCs w:val="false"/>
                <w:sz w:val="19"/>
                <w:szCs w:val="19"/>
              </w:rPr>
              <w:t xml:space="preserve">Support</w:t>
            </w:r>
          </w:p>
        </w:tc>
        <w:tc>
          <w:tcPr>
            <w:tcW w:type="dxa" w:w="3100"/>
            <w:tcMar>
              <w:top w:type="dxa" w:w="80"/>
              <w:left w:type="dxa" w:w="100"/>
              <w:bottom w:type="dxa" w:w="80"/>
              <w:right w:type="dxa" w:w="100"/>
            </w:tcMar>
            <w:vAlign w:val="center"/>
          </w:tcPr>
          <w:p>
            <w:pPr>
              <w:jc w:val="left"/>
            </w:pPr>
            <w:r>
              <w:rPr>
                <w:b w:val="false"/>
                <w:bCs w:val="false"/>
                <w:sz w:val="19"/>
                <w:szCs w:val="19"/>
              </w:rPr>
              <w:t xml:space="preserve">Email</w:t>
            </w:r>
          </w:p>
        </w:tc>
        <w:tc>
          <w:tcPr>
            <w:tcW w:type="dxa" w:w="3100"/>
            <w:tcMar>
              <w:top w:type="dxa" w:w="80"/>
              <w:left w:type="dxa" w:w="100"/>
              <w:bottom w:type="dxa" w:w="80"/>
              <w:right w:type="dxa" w:w="100"/>
            </w:tcMar>
            <w:vAlign w:val="center"/>
          </w:tcPr>
          <w:p>
            <w:pPr>
              <w:jc w:val="left"/>
            </w:pPr>
            <w:r>
              <w:rPr>
                <w:b w:val="false"/>
                <w:bCs w:val="false"/>
                <w:sz w:val="19"/>
                <w:szCs w:val="19"/>
              </w:rPr>
              <w:t xml:space="preserve">Priority (SLA not published)</w:t>
            </w:r>
          </w:p>
        </w:tc>
      </w:tr>
      <w:tr>
        <w:tc>
          <w:tcPr>
            <w:tcW w:type="dxa" w:w="3400"/>
            <w:shd w:fill="F4F1EC" w:val="clear"/>
            <w:tcMar>
              <w:top w:type="dxa" w:w="80"/>
              <w:left w:type="dxa" w:w="100"/>
              <w:bottom w:type="dxa" w:w="80"/>
              <w:right w:type="dxa" w:w="100"/>
            </w:tcMar>
            <w:vAlign w:val="center"/>
          </w:tcPr>
          <w:p>
            <w:pPr>
              <w:jc w:val="left"/>
            </w:pPr>
            <w:r>
              <w:rPr>
                <w:b w:val="false"/>
                <w:bCs w:val="false"/>
                <w:sz w:val="19"/>
                <w:szCs w:val="19"/>
              </w:rPr>
              <w:t xml:space="preserve">Founding price (first 100, monthly)</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S$20/mo (list S$25)</w:t>
            </w:r>
          </w:p>
        </w:tc>
        <w:tc>
          <w:tcPr>
            <w:tcW w:type="dxa" w:w="3100"/>
            <w:shd w:fill="F4F1EC" w:val="clear"/>
            <w:tcMar>
              <w:top w:type="dxa" w:w="80"/>
              <w:left w:type="dxa" w:w="100"/>
              <w:bottom w:type="dxa" w:w="80"/>
              <w:right w:type="dxa" w:w="100"/>
            </w:tcMar>
            <w:vAlign w:val="center"/>
          </w:tcPr>
          <w:p>
            <w:pPr>
              <w:jc w:val="left"/>
            </w:pPr>
            <w:r>
              <w:rPr>
                <w:b w:val="false"/>
                <w:bCs w:val="false"/>
                <w:sz w:val="19"/>
                <w:szCs w:val="19"/>
              </w:rPr>
              <w:t xml:space="preserve">S$55/mo (list S$65)</w:t>
            </w:r>
          </w:p>
        </w:tc>
      </w:tr>
    </w:tbl>
    <w:p>
      <w:pPr>
        <w:spacing w:after="200" w:before="120"/>
      </w:pPr>
      <w:r>
        <w:rPr>
          <w:i/>
          <w:iCs/>
          <w:color w:val="666666"/>
          <w:sz w:val="17"/>
          <w:szCs w:val="17"/>
        </w:rPr>
        <w:t xml:space="preserve">*Founding-member monthly rate, first 100 salons, locked for as long as the salon stays subscribed. List price is S$25 / S$65. Annual billing saves ~17% on top. Prices shown in SGD; USD and MYR also supported for billing.</w:t>
      </w:r>
    </w:p>
    <w:p>
      <w:pPr>
        <w:pStyle w:val="Heading1"/>
        <w:spacing w:after="160" w:before="360"/>
      </w:pPr>
      <w:r>
        <w:t xml:space="preserve">Interactive demo &amp; UX quality — what was actually clicked</w:t>
      </w:r>
    </w:p>
    <w:p>
      <w:pPr>
        <w:spacing w:after="160" w:line="300"/>
      </w:pPr>
      <w:r>
        <w:t xml:space="preserve">The marketing site doesn't just describe the product, it embeds working miniature versions of it. That's an unusually high bar for a marketing site to hold itself to, and it held up under testing:</w:t>
      </w:r>
    </w:p>
    <w:p>
      <w:pPr>
        <w:pStyle w:val="ListParagraph"/>
        <w:numPr>
          <w:ilvl w:val="0"/>
          <w:numId w:val="1"/>
        </w:numPr>
        <w:spacing w:after="90" w:line="280"/>
      </w:pPr>
      <w:r>
        <w:rPr>
          <w:b/>
          <w:bCs/>
        </w:rPr>
        <w:t xml:space="preserve">Booking widget: </w:t>
      </w:r>
      <w:r>
        <w:t xml:space="preserve">full 4-step flow (Service → Time → Staff → Details) with a live running total, ending in a “You're booked!” confirmation and an honest “Demo. No real booking is made” disclaimer.</w:t>
      </w:r>
    </w:p>
    <w:p>
      <w:pPr>
        <w:pStyle w:val="ListParagraph"/>
        <w:numPr>
          <w:ilvl w:val="0"/>
          <w:numId w:val="1"/>
        </w:numPr>
        <w:spacing w:after="90" w:line="280"/>
      </w:pPr>
      <w:r>
        <w:rPr>
          <w:b/>
          <w:bCs/>
        </w:rPr>
        <w:t xml:space="preserve">Shop widget: </w:t>
      </w:r>
      <w:r>
        <w:t xml:space="preserve">Add-to-cart buttons update a cart total and decrement per-product stock counts live, on-page, without a reload.</w:t>
      </w:r>
    </w:p>
    <w:p>
      <w:pPr>
        <w:pStyle w:val="ListParagraph"/>
        <w:numPr>
          <w:ilvl w:val="0"/>
          <w:numId w:val="1"/>
        </w:numPr>
        <w:spacing w:after="90" w:line="280"/>
      </w:pPr>
      <w:r>
        <w:rPr>
          <w:b/>
          <w:bCs/>
        </w:rPr>
        <w:t xml:space="preserve">Admin dashboard walkthrough: </w:t>
      </w:r>
      <w:r>
        <w:t xml:space="preserve">clicking Dashboard / Calendar / Clients / Inventory / Reports in the embedded sidebar swaps in real, distinct mock views rather than static images, and calendar appointments are genuinely drag-and-droppable.</w:t>
      </w:r>
    </w:p>
    <w:p>
      <w:pPr>
        <w:pStyle w:val="ListParagraph"/>
        <w:numPr>
          <w:ilvl w:val="0"/>
          <w:numId w:val="1"/>
        </w:numPr>
        <w:spacing w:after="90" w:line="280"/>
      </w:pPr>
      <w:r>
        <w:rPr>
          <w:b/>
          <w:bCs/>
        </w:rPr>
        <w:t xml:space="preserve">Per-page micro-demos: </w:t>
      </w:r>
      <w:r>
        <w:t xml:space="preserve">accent-colour re-skinning, cash-drawer denomination counters, form-field builders, promotion code validators, refund composers, and journey step-throughs all appear on their respective feature pages with “Press X” prompts — consistent with a team that ships product, not just a brochure.</w:t>
      </w:r>
    </w:p>
    <w:p>
      <w:pPr>
        <w:spacing w:after="160" w:line="300"/>
      </w:pPr>
      <w:r>
        <w:t xml:space="preserve">One rough edge found in testing: dragging an appointment on the homepage calendar demo left a faint visual artifact behind the dropped card — a minor cleanup glitch in the drag-and-drop animation, not a functional bug, but worth a look since it's the first interactive thing many visitors will touch.</w:t>
      </w:r>
    </w:p>
    <w:p>
      <w:pPr>
        <w:pStyle w:val="Heading1"/>
        <w:spacing w:after="160" w:before="360"/>
      </w:pPr>
      <w:r>
        <w:t xml:space="preserve">What's working well</w:t>
      </w:r>
    </w:p>
    <w:p>
      <w:pPr>
        <w:pStyle w:val="ListParagraph"/>
        <w:numPr>
          <w:ilvl w:val="0"/>
          <w:numId w:val="1"/>
        </w:numPr>
        <w:spacing w:after="90" w:line="280"/>
      </w:pPr>
      <w:r>
        <w:rPr>
          <w:b/>
          <w:bCs/>
        </w:rPr>
        <w:t xml:space="preserve">Shipping velocity is a genuine differentiator. </w:t>
      </w:r>
      <w:r>
        <w:t xml:space="preserve">The public /changelog shows dated entries on 15+ separate days in June–July 2026 alone — gift cards, a Shopify importer, tiered staff pricing, journeys, a visual email editor, and more. For a young entrant asking salons to trust it with revenue data, visible velocity is itself a trust signal, and it currently isn't cited anywhere in the sales copy.</w:t>
      </w:r>
    </w:p>
    <w:p>
      <w:pPr>
        <w:pStyle w:val="ListParagraph"/>
        <w:numPr>
          <w:ilvl w:val="0"/>
          <w:numId w:val="1"/>
        </w:numPr>
        <w:spacing w:after="90" w:line="280"/>
      </w:pPr>
      <w:r>
        <w:rPr>
          <w:b/>
          <w:bCs/>
        </w:rPr>
        <w:t xml:space="preserve">Loyalty that pays out real money. </w:t>
      </w:r>
      <w:r>
        <w:t xml:space="preserve">Points and stamp cards mint actual spendable in-store credit rather than “vanity” points — a genuine differentiator against point systems on comparable platforms, and it's explained plainly rather than oversold.</w:t>
      </w:r>
    </w:p>
    <w:p>
      <w:pPr>
        <w:pStyle w:val="ListParagraph"/>
        <w:numPr>
          <w:ilvl w:val="0"/>
          <w:numId w:val="1"/>
        </w:numPr>
        <w:spacing w:after="90" w:line="280"/>
      </w:pPr>
      <w:r>
        <w:rPr>
          <w:b/>
          <w:bCs/>
        </w:rPr>
        <w:t xml:space="preserve">Self-funding referrals. </w:t>
      </w:r>
      <w:r>
        <w:t xml:space="preserve">Reward fires only after the referred client's first completed, spend-qualified visit — the program cannot cost money before it's made money.</w:t>
      </w:r>
    </w:p>
    <w:p>
      <w:pPr>
        <w:pStyle w:val="ListParagraph"/>
        <w:numPr>
          <w:ilvl w:val="0"/>
          <w:numId w:val="1"/>
        </w:numPr>
        <w:spacing w:after="90" w:line="280"/>
      </w:pPr>
      <w:r>
        <w:rPr>
          <w:b/>
          <w:bCs/>
        </w:rPr>
        <w:t xml:space="preserve">Real inventory discipline. </w:t>
      </w:r>
      <w:r>
        <w:t xml:space="preserve">Per-batch expiry with FEFO (first-expiring-first-out) drain and a “committed stock” view most competitors at this price point don't offer — closer to enterprise-grade inventory than most budget salon tools.</w:t>
      </w:r>
    </w:p>
    <w:p>
      <w:pPr>
        <w:pStyle w:val="ListParagraph"/>
        <w:numPr>
          <w:ilvl w:val="0"/>
          <w:numId w:val="1"/>
        </w:numPr>
        <w:spacing w:after="90" w:line="280"/>
      </w:pPr>
      <w:r>
        <w:rPr>
          <w:b/>
          <w:bCs/>
        </w:rPr>
        <w:t xml:space="preserve">Unusually candid product communication. </w:t>
      </w:r>
      <w:r>
        <w:t xml:space="preserve">Nearly every feature page includes an honest “what this doesn't do yet” FAQ answer, and the roadmap page has an explicit “Not on the list” section (no general ledger, no bank reconciliation, no from-scratch payroll engine). This reads as credible rather than evasive — rare in SaaS marketing — but see the inconsistency findings below, where that candor hasn't always kept pace with what's actually shipped.</w:t>
      </w:r>
    </w:p>
    <w:p>
      <w:pPr>
        <w:pStyle w:val="ListParagraph"/>
        <w:numPr>
          <w:ilvl w:val="0"/>
          <w:numId w:val="1"/>
        </w:numPr>
        <w:spacing w:after="90" w:line="280"/>
      </w:pPr>
      <w:r>
        <w:rPr>
          <w:b/>
          <w:bCs/>
        </w:rPr>
        <w:t xml:space="preserve">Pricing that matches the pitch. </w:t>
      </w:r>
      <w:r>
        <w:t xml:space="preserve">“No per-seat, no per-booking cut” is true on the pricing page, the comparison table, and the FAQ — checked and consistent everywhere it appears.</w:t>
      </w:r>
    </w:p>
    <w:p>
      <w:pPr>
        <w:pStyle w:val="Heading1"/>
        <w:spacing w:after="160" w:before="360"/>
      </w:pPr>
      <w:r>
        <w:t xml:space="preserve">Findings: gaps, inconsistencies &amp; risks</w:t>
      </w:r>
    </w:p>
    <w:p>
      <w:pPr>
        <w:pStyle w:val="Heading2"/>
        <w:spacing w:after="120" w:before="260"/>
      </w:pPr>
      <w:r>
        <w:t xml:space="preserve">A. Two verified, dated content contradictions on the live site</w:t>
      </w:r>
    </w:p>
    <w:p>
      <w:pPr>
        <w:spacing w:after="160" w:line="300"/>
      </w:pPr>
      <w:r>
        <w:t xml:space="preserve">These are concrete bugs, not opinions — both were confirmed by comparing two live pages against each other and against the dated changelog.</w:t>
      </w:r>
    </w:p>
    <w:p>
      <w:pPr>
        <w:pStyle w:val="ListParagraph"/>
        <w:numPr>
          <w:ilvl w:val="0"/>
          <w:numId w:val="1"/>
        </w:numPr>
        <w:spacing w:after="90" w:line="280"/>
      </w:pPr>
      <w:r>
        <w:rPr>
          <w:b/>
          <w:bCs/>
        </w:rPr>
        <w:t xml:space="preserve">Gift cards vs. Payments FAQ. </w:t>
      </w:r>
      <w:r>
        <w:t xml:space="preserve">The dedicated /features/gift-cards page (and the 2026-07-05 changelog entry) describes a fully built gift-card system: unique codes, emailed branded cards, partial redemption, void/refund-to-card, liability accounting. But the /features/payments FAQ still answers “What about gift cards?” with: “Today, gift cards work through in-store credit… A digital gift card with a unique code emailed to the buyer is on the post-launch list.” That describes the feature as not yet built, five weeks after it shipped.</w:t>
      </w:r>
    </w:p>
    <w:p>
      <w:pPr>
        <w:pStyle w:val="ListParagraph"/>
        <w:numPr>
          <w:ilvl w:val="0"/>
          <w:numId w:val="1"/>
        </w:numPr>
        <w:spacing w:after="90" w:line="280"/>
      </w:pPr>
      <w:r>
        <w:rPr>
          <w:b/>
          <w:bCs/>
        </w:rPr>
        <w:t xml:space="preserve">Forms roadmap vs. changelog. </w:t>
      </w:r>
      <w:r>
        <w:t xml:space="preserve">The /features/forms page lists “File upload” and “Conditional questions” under a “COMING NEXT / on the roadmap” section. The /roadmap page itself says the opposite in the same breath: “File upload and conditional fields already shipped.” The 2026-06-25 changelog confirms they shipped three weeks before this review. The feature page hasn't been updated to say so.</w:t>
      </w:r>
    </w:p>
    <w:p>
      <w:pPr>
        <w:spacing w:after="160" w:line="300"/>
      </w:pPr>
      <w:r>
        <w:t xml:space="preserve">Neither error is dangerous, but both are exactly the kind of thing a prospect doing due diligence (reading several pages back-to-back, the way this review did) will notice — and it undercuts the site's own core promise of straight answers. This is very likely a content-sync process gap (feature pages not on the same update cadence as the changelog) rather than a one-off typo, so it's worth an audit pass across all 21 feature pages, not just a fix to these two.</w:t>
      </w:r>
    </w:p>
    <w:p>
      <w:pPr>
        <w:pStyle w:val="Heading2"/>
        <w:spacing w:after="120" w:before="260"/>
      </w:pPr>
      <w:r>
        <w:t xml:space="preserve">B. Payments are Singapore-only — this quietly caps Growth-tier value everywhere else</w:t>
      </w:r>
    </w:p>
    <w:p>
      <w:pPr>
        <w:spacing w:after="160" w:line="300"/>
      </w:pPr>
      <w:r>
        <w:t xml:space="preserve">Every online-card-payment capability — storefront checkout, membership auto-billing, auto-charged no-show/late-cancel fees, card-on-file at booking — is live only in Singapore, gated on Stripe Connect. Outside Singapore, several Growth-tier features (S$55/mo) quietly degrade to their Solo-tier manual equivalent: memberships become invoice-and-collect-in-person, no-show fees become an owed balance instead of an automatic charge, and the storefront becomes list-and-reserve instead of real checkout. A Malaysian or Australian salon paying the Growth price today is not getting the full Growth product. This is disclosed honestly in FAQs, but not on the pricing page itself, where a prospect is most likely to compare Solo vs. Growth by feature checklist alone.</w:t>
      </w:r>
    </w:p>
    <w:p>
      <w:pPr>
        <w:pStyle w:val="Heading2"/>
        <w:spacing w:after="120" w:before="260"/>
      </w:pPr>
      <w:r>
        <w:t xml:space="preserve">C. No native mobile app for the salon side</w:t>
      </w:r>
    </w:p>
    <w:p>
      <w:pPr>
        <w:spacing w:after="160" w:line="300"/>
      </w:pPr>
      <w:r>
        <w:t xml:space="preserve">The public booking page is mobile-first and tested well. The admin/staff side is web-only (a “tablet pass” is described as “in flight” and a native app sits in the “Considering” tier of the roadmap, with no committed timeline). Every named competitor in the landscape table below — Fresha, Vagaro, Mangomint, Boulevard, GlossGenius — ships a native staff app, which matters specifically for a front-desk or chair-side workflow where a stylist's hands are often busy and a browser tab is not the natural surface.</w:t>
      </w:r>
    </w:p>
    <w:p>
      <w:pPr>
        <w:pStyle w:val="Heading2"/>
        <w:spacing w:after="120" w:before="260"/>
      </w:pPr>
      <w:r>
        <w:t xml:space="preserve">D. Email-only client communication</w:t>
      </w:r>
    </w:p>
    <w:p>
      <w:pPr>
        <w:spacing w:after="160" w:line="300"/>
      </w:pPr>
      <w:r>
        <w:t xml:space="preserve">Every reminder, confirmation, review request, and marketing send is email. SMS reminders are “building now” (last-mile carrier registration, per the roadmap) but not live; WhatsApp is explicitly a later, bigger project. In markets Flowesce is actively targeting via its own blog content (Singapore, Malaysia), WhatsApp and SMS reminder engagement typically outperforms email for many consumer segments — this is a real gap against any competitor already sending text reminders today.</w:t>
      </w:r>
    </w:p>
    <w:p>
      <w:pPr>
        <w:pStyle w:val="Heading2"/>
        <w:spacing w:after="120" w:before="260"/>
      </w:pPr>
      <w:r>
        <w:t xml:space="preserve">E. Almost no trust or social-proof layer</w:t>
      </w:r>
    </w:p>
    <w:p>
      <w:pPr>
        <w:spacing w:after="160" w:line="300"/>
      </w:pPr>
      <w:r>
        <w:t xml:space="preserve">The entire public site carries zero customer logos, testimonials, review-platform badges (G2/Capterra/Trustpilot), press mentions, or case studies. The founder narrative (“Why I am building this”) is well-written and does real work, but it's the only trust signal on the page. This matters more than usual here because the target buyer is being asked to migrate live client data, payment history, and inventory off an incumbent (the site explicitly supports CSV migration from Mangomint, Fresha, and Acuity) — that's a high-switching-cost decision buyers typically want third-party validation for, not just founder conviction. There is also no security/compliance page anywhere in the footer or nav, despite medspas and “injectables/facial peels” being named target verticals that handle sensitive medical intake data.</w:t>
      </w:r>
    </w:p>
    <w:p>
      <w:pPr>
        <w:pStyle w:val="Heading2"/>
        <w:spacing w:after="120" w:before="260"/>
      </w:pPr>
      <w:r>
        <w:t xml:space="preserve">F. Thin top-of-funnel content and no live chat</w:t>
      </w:r>
    </w:p>
    <w:p>
      <w:pPr>
        <w:spacing w:after="160" w:line="300"/>
      </w:pPr>
      <w:r>
        <w:t xml:space="preserve">The blog currently shows a small number of posts (a Singapore WESS-alternatives piece, a Malaysia software guide, a membership-programs guide). For a company explicitly competing on SEO-adjacent terms (“WESS alternative,” “salon software Malaysia”), that's a thin base to rank against established competitors' much larger content libraries. Separately, the only support channel visible pre-signup is an email address — there is no chat widget to catch a hesitant visitor mid-comparison, even though the founder-reads-every-message positioning suggests fast response would be a selling point if it were visible in real time.</w:t>
      </w:r>
    </w:p>
    <w:p>
      <w:pPr>
        <w:pStyle w:val="Heading2"/>
        <w:spacing w:after="120" w:before="260"/>
      </w:pPr>
      <w:r>
        <w:t xml:space="preserve">G. “Founding price” urgency has no visible counter</w:t>
      </w:r>
    </w:p>
    <w:p>
      <w:pPr>
        <w:spacing w:after="160" w:line="300"/>
      </w:pPr>
      <w:r>
        <w:t xml:space="preserve">The scarcity hook (“first 100 salons, locked for life”) is a strong conversion lever, but nowhere on the pricing or homepage does it show how many of the 100 spots remain. A live counter (“37 of 100 claimed”) is a small build with an outsized effect on urgency-driven conversion — currently the mechanic is described but not made visible or credible.</w:t>
      </w:r>
    </w:p>
    <w:p>
      <w:pPr>
        <w:pStyle w:val="Heading2"/>
        <w:spacing w:after="120" w:before="260"/>
      </w:pPr>
      <w:r>
        <w:t xml:space="preserve">H. Loyalty-and-referrals specific limitations</w:t>
      </w:r>
    </w:p>
    <w:p>
      <w:pPr>
        <w:pStyle w:val="ListParagraph"/>
        <w:numPr>
          <w:ilvl w:val="0"/>
          <w:numId w:val="1"/>
        </w:numPr>
        <w:spacing w:after="90" w:line="280"/>
      </w:pPr>
      <w:r>
        <w:t xml:space="preserve">Loyalty points/stamps currently earn off the headline service price only — add-on retail sold in the same visit and any discount applied don't net into the earn calculation yet (self-disclosed on the loyalty FAQ).</w:t>
      </w:r>
    </w:p>
    <w:p>
      <w:pPr>
        <w:pStyle w:val="ListParagraph"/>
        <w:numPr>
          <w:ilvl w:val="0"/>
          <w:numId w:val="1"/>
        </w:numPr>
        <w:spacing w:after="90" w:line="280"/>
      </w:pPr>
      <w:r>
        <w:t xml:space="preserve">Rewards are credit-only across loyalty, referrals, and memberships — there's no tiered VIP status, badge, or non-monetary recognition layer, which some competing loyalty tools use for retention beyond the transactional reward.</w:t>
      </w:r>
    </w:p>
    <w:p>
      <w:pPr>
        <w:pStyle w:val="ListParagraph"/>
        <w:numPr>
          <w:ilvl w:val="0"/>
          <w:numId w:val="1"/>
        </w:numPr>
        <w:spacing w:after="90" w:line="280"/>
      </w:pPr>
      <w:r>
        <w:t xml:space="preserve">Referral rewards are single-tier and single-reward-type (in-store credit only) — no multi-tier “refer 3, get more” structure.</w:t>
      </w:r>
    </w:p>
    <w:p>
      <w:pPr>
        <w:pStyle w:val="Heading1"/>
        <w:spacing w:after="160" w:before="360"/>
      </w:pPr>
      <w:r>
        <w:t xml:space="preserve">Competitive landscape</w:t>
      </w:r>
    </w:p>
    <w:p>
      <w:pPr>
        <w:spacing w:after="160" w:line="300"/>
      </w:pPr>
      <w:r>
        <w:t xml:space="preserve">Positioned against the salon-software and salon-loyalty tools most likely to be in a prospect's comparison set. Pricing is approximate list pricing gathered from current public sources; Flowesce's own founding-tier pricing is the lowest of the group by a wide margin outside Fresha's fee-based free tier.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750"/>
        <w:gridCol w:w="1750"/>
        <w:gridCol w:w="2400"/>
        <w:gridCol w:w="2400"/>
      </w:tblGrid>
      <w:tr>
        <w:trPr>
          <w:tblHeader/>
        </w:trPr>
        <w:tc>
          <w:tcPr>
            <w:tcW w:type="dxa" w:w="1300"/>
            <w:shd w:fill="8A6E4B" w:val="clear"/>
            <w:tcMar>
              <w:top w:type="dxa" w:w="90"/>
              <w:left w:type="dxa" w:w="100"/>
              <w:bottom w:type="dxa" w:w="90"/>
              <w:right w:type="dxa" w:w="100"/>
            </w:tcMar>
            <w:vAlign w:val="center"/>
          </w:tcPr>
          <w:p>
            <w:r>
              <w:rPr>
                <w:b/>
                <w:bCs/>
                <w:color w:val="FFFFFF"/>
                <w:sz w:val="19"/>
                <w:szCs w:val="19"/>
              </w:rPr>
              <w:t xml:space="preserve">Platform</w:t>
            </w:r>
          </w:p>
        </w:tc>
        <w:tc>
          <w:tcPr>
            <w:tcW w:type="dxa" w:w="1750"/>
            <w:shd w:fill="8A6E4B" w:val="clear"/>
            <w:tcMar>
              <w:top w:type="dxa" w:w="90"/>
              <w:left w:type="dxa" w:w="100"/>
              <w:bottom w:type="dxa" w:w="90"/>
              <w:right w:type="dxa" w:w="100"/>
            </w:tcMar>
            <w:vAlign w:val="center"/>
          </w:tcPr>
          <w:p>
            <w:r>
              <w:rPr>
                <w:b/>
                <w:bCs/>
                <w:color w:val="FFFFFF"/>
                <w:sz w:val="19"/>
                <w:szCs w:val="19"/>
              </w:rPr>
              <w:t xml:space="preserve">Starting price</w:t>
            </w:r>
          </w:p>
        </w:tc>
        <w:tc>
          <w:tcPr>
            <w:tcW w:type="dxa" w:w="1750"/>
            <w:shd w:fill="8A6E4B" w:val="clear"/>
            <w:tcMar>
              <w:top w:type="dxa" w:w="90"/>
              <w:left w:type="dxa" w:w="100"/>
              <w:bottom w:type="dxa" w:w="90"/>
              <w:right w:type="dxa" w:w="100"/>
            </w:tcMar>
            <w:vAlign w:val="center"/>
          </w:tcPr>
          <w:p>
            <w:r>
              <w:rPr>
                <w:b/>
                <w:bCs/>
                <w:color w:val="FFFFFF"/>
                <w:sz w:val="19"/>
                <w:szCs w:val="19"/>
              </w:rPr>
              <w:t xml:space="preserve">Model</w:t>
            </w:r>
          </w:p>
        </w:tc>
        <w:tc>
          <w:tcPr>
            <w:tcW w:type="dxa" w:w="2400"/>
            <w:shd w:fill="8A6E4B" w:val="clear"/>
            <w:tcMar>
              <w:top w:type="dxa" w:w="90"/>
              <w:left w:type="dxa" w:w="100"/>
              <w:bottom w:type="dxa" w:w="90"/>
              <w:right w:type="dxa" w:w="100"/>
            </w:tcMar>
            <w:vAlign w:val="center"/>
          </w:tcPr>
          <w:p>
            <w:r>
              <w:rPr>
                <w:b/>
                <w:bCs/>
                <w:color w:val="FFFFFF"/>
                <w:sz w:val="19"/>
                <w:szCs w:val="19"/>
              </w:rPr>
              <w:t xml:space="preserve">Best for</w:t>
            </w:r>
          </w:p>
        </w:tc>
        <w:tc>
          <w:tcPr>
            <w:tcW w:type="dxa" w:w="2400"/>
            <w:shd w:fill="8A6E4B" w:val="clear"/>
            <w:tcMar>
              <w:top w:type="dxa" w:w="90"/>
              <w:left w:type="dxa" w:w="100"/>
              <w:bottom w:type="dxa" w:w="90"/>
              <w:right w:type="dxa" w:w="100"/>
            </w:tcMar>
            <w:vAlign w:val="center"/>
          </w:tcPr>
          <w:p>
            <w:r>
              <w:rPr>
                <w:b/>
                <w:bCs/>
                <w:color w:val="FFFFFF"/>
                <w:sz w:val="19"/>
                <w:szCs w:val="19"/>
              </w:rPr>
              <w:t xml:space="preserve">Gap vs. Flowesce</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Flowesce</w:t>
            </w:r>
          </w:p>
        </w:tc>
        <w:tc>
          <w:tcPr>
            <w:tcW w:type="dxa" w:w="1750"/>
            <w:tcMar>
              <w:top w:type="dxa" w:w="80"/>
              <w:left w:type="dxa" w:w="100"/>
              <w:bottom w:type="dxa" w:w="80"/>
              <w:right w:type="dxa" w:w="100"/>
            </w:tcMar>
            <w:vAlign w:val="center"/>
          </w:tcPr>
          <w:p>
            <w:pPr>
              <w:jc w:val="left"/>
            </w:pPr>
            <w:r>
              <w:rPr>
                <w:b w:val="false"/>
                <w:bCs w:val="false"/>
                <w:sz w:val="19"/>
                <w:szCs w:val="19"/>
              </w:rPr>
              <w:t xml:space="preserve">~US$15–$19 (Solo) / $36–$48 (Growth), founding rate</w:t>
            </w:r>
          </w:p>
        </w:tc>
        <w:tc>
          <w:tcPr>
            <w:tcW w:type="dxa" w:w="1750"/>
            <w:tcMar>
              <w:top w:type="dxa" w:w="80"/>
              <w:left w:type="dxa" w:w="100"/>
              <w:bottom w:type="dxa" w:w="80"/>
              <w:right w:type="dxa" w:w="100"/>
            </w:tcMar>
            <w:vAlign w:val="center"/>
          </w:tcPr>
          <w:p>
            <w:pPr>
              <w:jc w:val="left"/>
            </w:pPr>
            <w:r>
              <w:rPr>
                <w:b w:val="false"/>
                <w:bCs w:val="false"/>
                <w:sz w:val="19"/>
                <w:szCs w:val="19"/>
              </w:rPr>
              <w:t xml:space="preserve">Flat subscription, no per-seat or per-booking fee</w:t>
            </w:r>
          </w:p>
        </w:tc>
        <w:tc>
          <w:tcPr>
            <w:tcW w:type="dxa" w:w="2400"/>
            <w:tcMar>
              <w:top w:type="dxa" w:w="80"/>
              <w:left w:type="dxa" w:w="100"/>
              <w:bottom w:type="dxa" w:w="80"/>
              <w:right w:type="dxa" w:w="100"/>
            </w:tcMar>
            <w:vAlign w:val="center"/>
          </w:tcPr>
          <w:p>
            <w:pPr>
              <w:jc w:val="left"/>
            </w:pPr>
            <w:r>
              <w:rPr>
                <w:b w:val="false"/>
                <w:bCs w:val="false"/>
                <w:sz w:val="19"/>
                <w:szCs w:val="19"/>
              </w:rPr>
              <w:t xml:space="preserve">Solo owners → small multi-branch groups wanting booking + inventory + real bookkeeping in one place</w:t>
            </w:r>
          </w:p>
        </w:tc>
        <w:tc>
          <w:tcPr>
            <w:tcW w:type="dxa" w:w="2400"/>
            <w:tcMar>
              <w:top w:type="dxa" w:w="80"/>
              <w:left w:type="dxa" w:w="100"/>
              <w:bottom w:type="dxa" w:w="80"/>
              <w:right w:type="dxa" w:w="100"/>
            </w:tcMar>
            <w:vAlign w:val="center"/>
          </w:tcPr>
          <w:p>
            <w:pPr>
              <w:jc w:val="left"/>
            </w:pPr>
            <w:r>
              <w:rPr>
                <w:b w:val="false"/>
                <w:bCs w:val="false"/>
                <w:sz w:val="19"/>
                <w:szCs w:val="19"/>
              </w:rPr>
              <w:t xml:space="preserve">Online card payments live only in Singapore; no native mobile app; young, thin content/social-proof layer</w:t>
            </w:r>
          </w:p>
        </w:tc>
      </w:tr>
      <w:tr>
        <w:tc>
          <w:tcPr>
            <w:tcW w:type="dxa" w:w="1300"/>
            <w:shd w:fill="F4F1EC" w:val="clear"/>
            <w:tcMar>
              <w:top w:type="dxa" w:w="80"/>
              <w:left w:type="dxa" w:w="100"/>
              <w:bottom w:type="dxa" w:w="80"/>
              <w:right w:type="dxa" w:w="100"/>
            </w:tcMar>
            <w:vAlign w:val="center"/>
          </w:tcPr>
          <w:p>
            <w:pPr>
              <w:jc w:val="left"/>
            </w:pPr>
            <w:r>
              <w:rPr>
                <w:b w:val="false"/>
                <w:bCs w:val="false"/>
                <w:sz w:val="19"/>
                <w:szCs w:val="19"/>
              </w:rPr>
              <w:t xml:space="preserve">Fresha</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“Free” core + 2.19%+$0.20 per online payment, ~20% commission on marketplace-sourced clients</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Transaction-fee / marketplace model</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Salons that want the free client-acquisition marketplace and don't mind fee bleed at volume</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Fee stack erodes margin as volume grows; marketplace listing can direct clients to competitors too</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Vagaro</w:t>
            </w:r>
          </w:p>
        </w:tc>
        <w:tc>
          <w:tcPr>
            <w:tcW w:type="dxa" w:w="1750"/>
            <w:tcMar>
              <w:top w:type="dxa" w:w="80"/>
              <w:left w:type="dxa" w:w="100"/>
              <w:bottom w:type="dxa" w:w="80"/>
              <w:right w:type="dxa" w:w="100"/>
            </w:tcMar>
            <w:vAlign w:val="center"/>
          </w:tcPr>
          <w:p>
            <w:pPr>
              <w:jc w:val="left"/>
            </w:pPr>
            <w:r>
              <w:rPr>
                <w:b w:val="false"/>
                <w:bCs w:val="false"/>
                <w:sz w:val="19"/>
                <w:szCs w:val="19"/>
              </w:rPr>
              <w:t xml:space="preserve">From ~$30/mo</w:t>
            </w:r>
          </w:p>
        </w:tc>
        <w:tc>
          <w:tcPr>
            <w:tcW w:type="dxa" w:w="1750"/>
            <w:tcMar>
              <w:top w:type="dxa" w:w="80"/>
              <w:left w:type="dxa" w:w="100"/>
              <w:bottom w:type="dxa" w:w="80"/>
              <w:right w:type="dxa" w:w="100"/>
            </w:tcMar>
            <w:vAlign w:val="center"/>
          </w:tcPr>
          <w:p>
            <w:pPr>
              <w:jc w:val="left"/>
            </w:pPr>
            <w:r>
              <w:rPr>
                <w:b w:val="false"/>
                <w:bCs w:val="false"/>
                <w:sz w:val="19"/>
                <w:szCs w:val="19"/>
              </w:rPr>
              <w:t xml:space="preserve">Budget all-in-one, add-on modules</w:t>
            </w:r>
          </w:p>
        </w:tc>
        <w:tc>
          <w:tcPr>
            <w:tcW w:type="dxa" w:w="2400"/>
            <w:tcMar>
              <w:top w:type="dxa" w:w="80"/>
              <w:left w:type="dxa" w:w="100"/>
              <w:bottom w:type="dxa" w:w="80"/>
              <w:right w:type="dxa" w:w="100"/>
            </w:tcMar>
            <w:vAlign w:val="center"/>
          </w:tcPr>
          <w:p>
            <w:pPr>
              <w:jc w:val="left"/>
            </w:pPr>
            <w:r>
              <w:rPr>
                <w:b w:val="false"/>
                <w:bCs w:val="false"/>
                <w:sz w:val="19"/>
                <w:szCs w:val="19"/>
              </w:rPr>
              <w:t xml:space="preserve">Small-to-mid salons wanting a cheap, broad feature set incl. built-in loyalty</w:t>
            </w:r>
          </w:p>
        </w:tc>
        <w:tc>
          <w:tcPr>
            <w:tcW w:type="dxa" w:w="2400"/>
            <w:tcMar>
              <w:top w:type="dxa" w:w="80"/>
              <w:left w:type="dxa" w:w="100"/>
              <w:bottom w:type="dxa" w:w="80"/>
              <w:right w:type="dxa" w:w="100"/>
            </w:tcMar>
            <w:vAlign w:val="center"/>
          </w:tcPr>
          <w:p>
            <w:pPr>
              <w:jc w:val="left"/>
            </w:pPr>
            <w:r>
              <w:rPr>
                <w:b w:val="false"/>
                <w:bCs w:val="false"/>
                <w:sz w:val="19"/>
                <w:szCs w:val="19"/>
              </w:rPr>
              <w:t xml:space="preserve">Interface widely described as dated; many features gated behind paid add-ons</w:t>
            </w:r>
          </w:p>
        </w:tc>
      </w:tr>
      <w:tr>
        <w:tc>
          <w:tcPr>
            <w:tcW w:type="dxa" w:w="1300"/>
            <w:shd w:fill="F4F1EC" w:val="clear"/>
            <w:tcMar>
              <w:top w:type="dxa" w:w="80"/>
              <w:left w:type="dxa" w:w="100"/>
              <w:bottom w:type="dxa" w:w="80"/>
              <w:right w:type="dxa" w:w="100"/>
            </w:tcMar>
            <w:vAlign w:val="center"/>
          </w:tcPr>
          <w:p>
            <w:pPr>
              <w:jc w:val="left"/>
            </w:pPr>
            <w:r>
              <w:rPr>
                <w:b w:val="false"/>
                <w:bCs w:val="false"/>
                <w:sz w:val="19"/>
                <w:szCs w:val="19"/>
              </w:rPr>
              <w:t xml:space="preserve">Mangomint</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From ~$165/mo</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Premium flat-ish pricing, all features included</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Established salons (5+ staff) that will pay for the highest-rated UX (4.9 on G2/Capterra)</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9–10x Flowesce's price; overkill and cost-prohibitive for solo/small operators</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Boulevard</w:t>
            </w:r>
          </w:p>
        </w:tc>
        <w:tc>
          <w:tcPr>
            <w:tcW w:type="dxa" w:w="1750"/>
            <w:tcMar>
              <w:top w:type="dxa" w:w="80"/>
              <w:left w:type="dxa" w:w="100"/>
              <w:bottom w:type="dxa" w:w="80"/>
              <w:right w:type="dxa" w:w="100"/>
            </w:tcMar>
            <w:vAlign w:val="center"/>
          </w:tcPr>
          <w:p>
            <w:pPr>
              <w:jc w:val="left"/>
            </w:pPr>
            <w:r>
              <w:rPr>
                <w:b w:val="false"/>
                <w:bCs w:val="false"/>
                <w:sz w:val="19"/>
                <w:szCs w:val="19"/>
              </w:rPr>
              <w:t xml:space="preserve">From ~$158–$185/mo, scaling to $300–500+ multi-location</w:t>
            </w:r>
          </w:p>
        </w:tc>
        <w:tc>
          <w:tcPr>
            <w:tcW w:type="dxa" w:w="1750"/>
            <w:tcMar>
              <w:top w:type="dxa" w:w="80"/>
              <w:left w:type="dxa" w:w="100"/>
              <w:bottom w:type="dxa" w:w="80"/>
              <w:right w:type="dxa" w:w="100"/>
            </w:tcMar>
            <w:vAlign w:val="center"/>
          </w:tcPr>
          <w:p>
            <w:pPr>
              <w:jc w:val="left"/>
            </w:pPr>
            <w:r>
              <w:rPr>
                <w:b w:val="false"/>
                <w:bCs w:val="false"/>
                <w:sz w:val="19"/>
                <w:szCs w:val="19"/>
              </w:rPr>
              <w:t xml:space="preserve">Premium, client-experience / marketing-led</w:t>
            </w:r>
          </w:p>
        </w:tc>
        <w:tc>
          <w:tcPr>
            <w:tcW w:type="dxa" w:w="2400"/>
            <w:tcMar>
              <w:top w:type="dxa" w:w="80"/>
              <w:left w:type="dxa" w:w="100"/>
              <w:bottom w:type="dxa" w:w="80"/>
              <w:right w:type="dxa" w:w="100"/>
            </w:tcMar>
            <w:vAlign w:val="center"/>
          </w:tcPr>
          <w:p>
            <w:pPr>
              <w:jc w:val="left"/>
            </w:pPr>
            <w:r>
              <w:rPr>
                <w:b w:val="false"/>
                <w:bCs w:val="false"/>
                <w:sz w:val="19"/>
                <w:szCs w:val="19"/>
              </w:rPr>
              <w:t xml:space="preserve">Luxury salons and medspas prioritising brand experience over price</w:t>
            </w:r>
          </w:p>
        </w:tc>
        <w:tc>
          <w:tcPr>
            <w:tcW w:type="dxa" w:w="2400"/>
            <w:tcMar>
              <w:top w:type="dxa" w:w="80"/>
              <w:left w:type="dxa" w:w="100"/>
              <w:bottom w:type="dxa" w:w="80"/>
              <w:right w:type="dxa" w:w="100"/>
            </w:tcMar>
            <w:vAlign w:val="center"/>
          </w:tcPr>
          <w:p>
            <w:pPr>
              <w:jc w:val="left"/>
            </w:pPr>
            <w:r>
              <w:rPr>
                <w:b w:val="false"/>
                <w:bCs w:val="false"/>
                <w:sz w:val="19"/>
                <w:szCs w:val="19"/>
              </w:rPr>
              <w:t xml:space="preserve">Expensive; built for high-touch premium positioning, not price-sensitive solo studios</w:t>
            </w:r>
          </w:p>
        </w:tc>
      </w:tr>
      <w:tr>
        <w:tc>
          <w:tcPr>
            <w:tcW w:type="dxa" w:w="1300"/>
            <w:shd w:fill="F4F1EC" w:val="clear"/>
            <w:tcMar>
              <w:top w:type="dxa" w:w="80"/>
              <w:left w:type="dxa" w:w="100"/>
              <w:bottom w:type="dxa" w:w="80"/>
              <w:right w:type="dxa" w:w="100"/>
            </w:tcMar>
            <w:vAlign w:val="center"/>
          </w:tcPr>
          <w:p>
            <w:pPr>
              <w:jc w:val="left"/>
            </w:pPr>
            <w:r>
              <w:rPr>
                <w:b w:val="false"/>
                <w:bCs w:val="false"/>
                <w:sz w:val="19"/>
                <w:szCs w:val="19"/>
              </w:rPr>
              <w:t xml:space="preserve">Zenoti</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~$200–$600+/mo per location, custom quotes</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Enterprise suite, native multi-location</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Multi-location chains and franchises needing enterprise CRM/POS/inventory in one system</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Heavy, quote-only pricing and multi-month implementation — wrong tool below chain scale</w:t>
            </w:r>
          </w:p>
        </w:tc>
      </w:tr>
      <w:tr>
        <w:tc>
          <w:tcPr>
            <w:tcW w:type="dxa" w:w="1300"/>
            <w:tcMar>
              <w:top w:type="dxa" w:w="80"/>
              <w:left w:type="dxa" w:w="100"/>
              <w:bottom w:type="dxa" w:w="80"/>
              <w:right w:type="dxa" w:w="100"/>
            </w:tcMar>
            <w:vAlign w:val="center"/>
          </w:tcPr>
          <w:p>
            <w:pPr>
              <w:jc w:val="left"/>
            </w:pPr>
            <w:r>
              <w:rPr>
                <w:b w:val="false"/>
                <w:bCs w:val="false"/>
                <w:sz w:val="19"/>
                <w:szCs w:val="19"/>
              </w:rPr>
              <w:t xml:space="preserve">GlossGenius</w:t>
            </w:r>
          </w:p>
        </w:tc>
        <w:tc>
          <w:tcPr>
            <w:tcW w:type="dxa" w:w="1750"/>
            <w:tcMar>
              <w:top w:type="dxa" w:w="80"/>
              <w:left w:type="dxa" w:w="100"/>
              <w:bottom w:type="dxa" w:w="80"/>
              <w:right w:type="dxa" w:w="100"/>
            </w:tcMar>
            <w:vAlign w:val="center"/>
          </w:tcPr>
          <w:p>
            <w:pPr>
              <w:jc w:val="left"/>
            </w:pPr>
            <w:r>
              <w:rPr>
                <w:b w:val="false"/>
                <w:bCs w:val="false"/>
                <w:sz w:val="19"/>
                <w:szCs w:val="19"/>
              </w:rPr>
              <w:t xml:space="preserve">From ~$24–$48/mo per stylist</w:t>
            </w:r>
          </w:p>
        </w:tc>
        <w:tc>
          <w:tcPr>
            <w:tcW w:type="dxa" w:w="1750"/>
            <w:tcMar>
              <w:top w:type="dxa" w:w="80"/>
              <w:left w:type="dxa" w:w="100"/>
              <w:bottom w:type="dxa" w:w="80"/>
              <w:right w:type="dxa" w:w="100"/>
            </w:tcMar>
            <w:vAlign w:val="center"/>
          </w:tcPr>
          <w:p>
            <w:pPr>
              <w:jc w:val="left"/>
            </w:pPr>
            <w:r>
              <w:rPr>
                <w:b w:val="false"/>
                <w:bCs w:val="false"/>
                <w:sz w:val="19"/>
                <w:szCs w:val="19"/>
              </w:rPr>
              <w:t xml:space="preserve">Solo-optimised, flat low card-processing fee (2.6%)</w:t>
            </w:r>
          </w:p>
        </w:tc>
        <w:tc>
          <w:tcPr>
            <w:tcW w:type="dxa" w:w="2400"/>
            <w:tcMar>
              <w:top w:type="dxa" w:w="80"/>
              <w:left w:type="dxa" w:w="100"/>
              <w:bottom w:type="dxa" w:w="80"/>
              <w:right w:type="dxa" w:w="100"/>
            </w:tcMar>
            <w:vAlign w:val="center"/>
          </w:tcPr>
          <w:p>
            <w:pPr>
              <w:jc w:val="left"/>
            </w:pPr>
            <w:r>
              <w:rPr>
                <w:b w:val="false"/>
                <w:bCs w:val="false"/>
                <w:sz w:val="19"/>
                <w:szCs w:val="19"/>
              </w:rPr>
              <w:t xml:space="preserve">Independent, single-operator beauty professionals; HIPAA-compatible for medical-adjacent work</w:t>
            </w:r>
          </w:p>
        </w:tc>
        <w:tc>
          <w:tcPr>
            <w:tcW w:type="dxa" w:w="2400"/>
            <w:tcMar>
              <w:top w:type="dxa" w:w="80"/>
              <w:left w:type="dxa" w:w="100"/>
              <w:bottom w:type="dxa" w:w="80"/>
              <w:right w:type="dxa" w:w="100"/>
            </w:tcMar>
            <w:vAlign w:val="center"/>
          </w:tcPr>
          <w:p>
            <w:pPr>
              <w:jc w:val="left"/>
            </w:pPr>
            <w:r>
              <w:rPr>
                <w:b w:val="false"/>
                <w:bCs w:val="false"/>
                <w:sz w:val="19"/>
                <w:szCs w:val="19"/>
              </w:rPr>
              <w:t xml:space="preserve">Optimised for one operator, not multi-branch teams; per-stylist pricing scales up fast with headcount</w:t>
            </w:r>
          </w:p>
        </w:tc>
      </w:tr>
      <w:tr>
        <w:tc>
          <w:tcPr>
            <w:tcW w:type="dxa" w:w="1300"/>
            <w:shd w:fill="F4F1EC" w:val="clear"/>
            <w:tcMar>
              <w:top w:type="dxa" w:w="80"/>
              <w:left w:type="dxa" w:w="100"/>
              <w:bottom w:type="dxa" w:w="80"/>
              <w:right w:type="dxa" w:w="100"/>
            </w:tcMar>
            <w:vAlign w:val="center"/>
          </w:tcPr>
          <w:p>
            <w:pPr>
              <w:jc w:val="left"/>
            </w:pPr>
            <w:r>
              <w:rPr>
                <w:b w:val="false"/>
                <w:bCs w:val="false"/>
                <w:sz w:val="19"/>
                <w:szCs w:val="19"/>
              </w:rPr>
              <w:t xml:space="preserve">WESS</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Quote-only</w:t>
            </w:r>
          </w:p>
        </w:tc>
        <w:tc>
          <w:tcPr>
            <w:tcW w:type="dxa" w:w="1750"/>
            <w:shd w:fill="F4F1EC" w:val="clear"/>
            <w:tcMar>
              <w:top w:type="dxa" w:w="80"/>
              <w:left w:type="dxa" w:w="100"/>
              <w:bottom w:type="dxa" w:w="80"/>
              <w:right w:type="dxa" w:w="100"/>
            </w:tcMar>
            <w:vAlign w:val="center"/>
          </w:tcPr>
          <w:p>
            <w:pPr>
              <w:jc w:val="left"/>
            </w:pPr>
            <w:r>
              <w:rPr>
                <w:b w:val="false"/>
                <w:bCs w:val="false"/>
                <w:sz w:val="19"/>
                <w:szCs w:val="19"/>
              </w:rPr>
              <w:t xml:space="preserve">Legacy Singapore/Malaysia incumbent since 2012, 1,100+ salons</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Established SG/MY salons already on it, valuing longevity and local support</w:t>
            </w:r>
          </w:p>
        </w:tc>
        <w:tc>
          <w:tcPr>
            <w:tcW w:type="dxa" w:w="2400"/>
            <w:shd w:fill="F4F1EC" w:val="clear"/>
            <w:tcMar>
              <w:top w:type="dxa" w:w="80"/>
              <w:left w:type="dxa" w:w="100"/>
              <w:bottom w:type="dxa" w:w="80"/>
              <w:right w:type="dxa" w:w="100"/>
            </w:tcMar>
            <w:vAlign w:val="center"/>
          </w:tcPr>
          <w:p>
            <w:pPr>
              <w:jc w:val="left"/>
            </w:pPr>
            <w:r>
              <w:rPr>
                <w:b w:val="false"/>
                <w:bCs w:val="false"/>
                <w:sz w:val="19"/>
                <w:szCs w:val="19"/>
              </w:rPr>
              <w:t xml:space="preserve">Dated UI, opaque quote-only pricing — exactly the gap Flowesce's own blog positions against</w:t>
            </w:r>
          </w:p>
        </w:tc>
      </w:tr>
    </w:tbl>
    <w:p>
      <w:pPr>
        <w:spacing w:after="200" w:before="120"/>
      </w:pPr>
      <w:r>
        <w:rPr>
          <w:i/>
          <w:iCs/>
          <w:color w:val="666666"/>
          <w:sz w:val="17"/>
          <w:szCs w:val="17"/>
        </w:rPr>
        <w:t xml:space="preserve">Pricing figures gathered via web search of current vendor/aggregator listings (see Sources) and are approximate; all vendors vary pricing by region, payment processor, and add-ons.</w:t>
      </w:r>
    </w:p>
    <w:p>
      <w:pPr>
        <w:pStyle w:val="Heading1"/>
        <w:spacing w:after="160" w:before="360"/>
      </w:pPr>
      <w:r>
        <w:t xml:space="preserve">The 10% plan — prioritized, concrete, scoped</w:t>
      </w:r>
    </w:p>
    <w:p>
      <w:pPr>
        <w:spacing w:after="160" w:line="300"/>
      </w:pPr>
      <w:r>
        <w:t xml:space="preserve">Framed as “10% better,” not a rebuild: every item below is additive to what's already a genuinely strong product, ordered by effort so the cheapest, highest-leverage fixes come first.</w:t>
      </w:r>
    </w:p>
    <w:p>
      <w:pPr>
        <w:pStyle w:val="Heading2"/>
        <w:spacing w:after="120" w:before="260"/>
      </w:pPr>
      <w:r>
        <w:t xml:space="preserve">Fix this week (hours to days, no new engineering)</w:t>
      </w:r>
    </w:p>
    <w:p>
      <w:pPr>
        <w:pStyle w:val="ListParagraph"/>
        <w:numPr>
          <w:ilvl w:val="0"/>
          <w:numId w:val="1"/>
        </w:numPr>
        <w:spacing w:after="90" w:line="280"/>
      </w:pPr>
      <w:r>
        <w:rPr>
          <w:b/>
          <w:bCs/>
        </w:rPr>
        <w:t xml:space="preserve">1. Reconcile the two content contradictions above </w:t>
      </w:r>
      <w:r>
        <w:t xml:space="preserve">(gift cards on the Payments FAQ; file upload/conditional questions on the Forms page), then do a one-pass audit of all 21 feature-page FAQs against the changelog for anything else that's shipped but still described as “coming.” This is a copy fix, not a build.</w:t>
      </w:r>
    </w:p>
    <w:p>
      <w:pPr>
        <w:pStyle w:val="ListParagraph"/>
        <w:numPr>
          <w:ilvl w:val="0"/>
          <w:numId w:val="1"/>
        </w:numPr>
        <w:spacing w:after="90" w:line="280"/>
      </w:pPr>
      <w:r>
        <w:rPr>
          <w:b/>
          <w:bCs/>
        </w:rPr>
        <w:t xml:space="preserve">2. Disclose the Singapore-only payments gate on the pricing page itself, </w:t>
      </w:r>
      <w:r>
        <w:t xml:space="preserve">not just in FAQs — a single footnote under the Growth column (“auto-billing and auto-charge require Stripe, live in Singapore today”) prevents a bait-and-switch feeling for non-SG buyers post-signup.</w:t>
      </w:r>
    </w:p>
    <w:p>
      <w:pPr>
        <w:pStyle w:val="ListParagraph"/>
        <w:numPr>
          <w:ilvl w:val="0"/>
          <w:numId w:val="1"/>
        </w:numPr>
        <w:spacing w:after="90" w:line="280"/>
      </w:pPr>
      <w:r>
        <w:rPr>
          <w:b/>
          <w:bCs/>
        </w:rPr>
        <w:t xml:space="preserve">3. Add a live founding-price counter </w:t>
      </w:r>
      <w:r>
        <w:t xml:space="preserve">(“X of 100 spots claimed”) to the pricing page — the scarcity mechanic already exists; it just isn't visible.</w:t>
      </w:r>
    </w:p>
    <w:p>
      <w:pPr>
        <w:pStyle w:val="ListParagraph"/>
        <w:numPr>
          <w:ilvl w:val="0"/>
          <w:numId w:val="1"/>
        </w:numPr>
        <w:spacing w:after="90" w:line="280"/>
      </w:pPr>
      <w:r>
        <w:rPr>
          <w:b/>
          <w:bCs/>
        </w:rPr>
        <w:t xml:space="preserve">4. Fix the calendar drag-and-drop visual artifact </w:t>
      </w:r>
      <w:r>
        <w:t xml:space="preserve">on the homepage demo — it's the first interactive thing many visitors touch.</w:t>
      </w:r>
    </w:p>
    <w:p>
      <w:pPr>
        <w:pStyle w:val="ListParagraph"/>
        <w:numPr>
          <w:ilvl w:val="0"/>
          <w:numId w:val="1"/>
        </w:numPr>
        <w:spacing w:after="90" w:line="280"/>
      </w:pPr>
      <w:r>
        <w:rPr>
          <w:b/>
          <w:bCs/>
        </w:rPr>
        <w:t xml:space="preserve">5. Add a lightweight chat widget </w:t>
      </w:r>
      <w:r>
        <w:t xml:space="preserve">(or a visible “text the founder” option) next to the existing email address — cheap to add, catches comparison-shopping visitors at the moment of highest intent.</w:t>
      </w:r>
    </w:p>
    <w:p>
      <w:pPr>
        <w:pStyle w:val="Heading2"/>
        <w:spacing w:after="120" w:before="260"/>
      </w:pPr>
      <w:r>
        <w:t xml:space="preserve">Build this quarter</w:t>
      </w:r>
    </w:p>
    <w:p>
      <w:pPr>
        <w:pStyle w:val="ListParagraph"/>
        <w:numPr>
          <w:ilvl w:val="0"/>
          <w:numId w:val="1"/>
        </w:numPr>
        <w:spacing w:after="90" w:line="280"/>
      </w:pPr>
      <w:r>
        <w:rPr>
          <w:b/>
          <w:bCs/>
        </w:rPr>
        <w:t xml:space="preserve">6. Ship SMS reminders </w:t>
      </w:r>
      <w:r>
        <w:t xml:space="preserve">as already scheduled on the roadmap — this is the single highest-leverage item outstanding, since it's already “building now” and closes the biggest functional gap against every named competitor.</w:t>
      </w:r>
    </w:p>
    <w:p>
      <w:pPr>
        <w:pStyle w:val="ListParagraph"/>
        <w:numPr>
          <w:ilvl w:val="0"/>
          <w:numId w:val="1"/>
        </w:numPr>
        <w:spacing w:after="90" w:line="280"/>
      </w:pPr>
      <w:r>
        <w:rPr>
          <w:b/>
          <w:bCs/>
        </w:rPr>
        <w:t xml:space="preserve">7. Add 3–5 real customer proof points </w:t>
      </w:r>
      <w:r>
        <w:t xml:space="preserve">— even two or three named early-access salons with a one-line quote and a before/after metric (e.g., “recovered 6 cancellations a week via the waitlist”) would do more for trial-to-paid conversion than any feature ship, given the current zero-testimonial baseline.</w:t>
      </w:r>
    </w:p>
    <w:p>
      <w:pPr>
        <w:pStyle w:val="ListParagraph"/>
        <w:numPr>
          <w:ilvl w:val="0"/>
          <w:numId w:val="1"/>
        </w:numPr>
        <w:spacing w:after="90" w:line="280"/>
      </w:pPr>
      <w:r>
        <w:rPr>
          <w:b/>
          <w:bCs/>
        </w:rPr>
        <w:t xml:space="preserve">8. Publish a security/compliance page </w:t>
      </w:r>
      <w:r>
        <w:t xml:space="preserve">covering data handling, backups, and (if accurate) a HIPAA-adjacent posture statement for the medspa/injectables segment the product explicitly targets. This is table stakes for that vertical and currently entirely absent.</w:t>
      </w:r>
    </w:p>
    <w:p>
      <w:pPr>
        <w:pStyle w:val="ListParagraph"/>
        <w:numPr>
          <w:ilvl w:val="0"/>
          <w:numId w:val="1"/>
        </w:numPr>
        <w:spacing w:after="90" w:line="280"/>
      </w:pPr>
      <w:r>
        <w:rPr>
          <w:b/>
          <w:bCs/>
        </w:rPr>
        <w:t xml:space="preserve">9. Net loyalty-point earning against add-ons and discounts, </w:t>
      </w:r>
      <w:r>
        <w:t xml:space="preserve">closing the self-disclosed gap where only the headline service price currently earns — straightforward once memberships/referrals already share the same credit ledger.</w:t>
      </w:r>
    </w:p>
    <w:p>
      <w:pPr>
        <w:pStyle w:val="ListParagraph"/>
        <w:numPr>
          <w:ilvl w:val="0"/>
          <w:numId w:val="1"/>
        </w:numPr>
        <w:spacing w:after="90" w:line="280"/>
      </w:pPr>
      <w:r>
        <w:rPr>
          <w:b/>
          <w:bCs/>
        </w:rPr>
        <w:t xml:space="preserve">10. Expand the blog to a real content cadence </w:t>
      </w:r>
      <w:r>
        <w:t xml:space="preserve">(4–6 posts/month) targeting the same “[incumbent] alternative” and “salon software [country]” terms the first three posts already prove the site can rank for — the cheapest durable growth channel available given the flat-pricing, no-marketplace positioning rules out Fresha-style marketplace lead-gen.</w:t>
      </w:r>
    </w:p>
    <w:p>
      <w:pPr>
        <w:pStyle w:val="Heading2"/>
        <w:spacing w:after="120" w:before="260"/>
      </w:pPr>
      <w:r>
        <w:t xml:space="preserve">Strategic bets (next 2–4 quarters)</w:t>
      </w:r>
    </w:p>
    <w:p>
      <w:pPr>
        <w:pStyle w:val="ListParagraph"/>
        <w:numPr>
          <w:ilvl w:val="0"/>
          <w:numId w:val="1"/>
        </w:numPr>
        <w:spacing w:after="90" w:line="280"/>
      </w:pPr>
      <w:r>
        <w:rPr>
          <w:b/>
          <w:bCs/>
        </w:rPr>
        <w:t xml:space="preserve">11. Open Stripe payment corridors beyond Singapore </w:t>
      </w:r>
      <w:r>
        <w:t xml:space="preserve">on the sequence the roadmap already implies — this is the biggest lever on actual Growth-tier revenue realization, since three flagship Growth features (auto-billed memberships, auto-charged no-shows, real storefront checkout) are throttled by it everywhere else.</w:t>
      </w:r>
    </w:p>
    <w:p>
      <w:pPr>
        <w:pStyle w:val="ListParagraph"/>
        <w:numPr>
          <w:ilvl w:val="0"/>
          <w:numId w:val="1"/>
        </w:numPr>
        <w:spacing w:after="90" w:line="280"/>
      </w:pPr>
      <w:r>
        <w:rPr>
          <w:b/>
          <w:bCs/>
        </w:rPr>
        <w:t xml:space="preserve">12. Ship the native admin app </w:t>
      </w:r>
      <w:r>
        <w:t xml:space="preserve">once the web admin's mobile/tablet pass is solid — currently “considering” tier; every direct competitor already has this, and it's a recurring complaint pattern in salon-software reviews generally (staff don't want to open a browser mid-service).</w:t>
      </w:r>
    </w:p>
    <w:p>
      <w:pPr>
        <w:pStyle w:val="ListParagraph"/>
        <w:numPr>
          <w:ilvl w:val="0"/>
          <w:numId w:val="1"/>
        </w:numPr>
        <w:spacing w:after="90" w:line="280"/>
      </w:pPr>
      <w:r>
        <w:rPr>
          <w:b/>
          <w:bCs/>
        </w:rPr>
        <w:t xml:space="preserve">13. Add a light tiering layer to loyalty and referrals </w:t>
      </w:r>
      <w:r>
        <w:t xml:space="preserve">(a VIP status tier on top of points, a 2nd-tier referral bonus) — keeps the “real money, not vanity points” differentiation while adding a recognition layer some competing loyalty tools use for incremental retention.</w:t>
      </w:r>
    </w:p>
    <w:p>
      <w:pPr>
        <w:pStyle w:val="ListParagraph"/>
        <w:numPr>
          <w:ilvl w:val="0"/>
          <w:numId w:val="1"/>
        </w:numPr>
        <w:spacing w:after="90" w:line="280"/>
      </w:pPr>
      <w:r>
        <w:rPr>
          <w:b/>
          <w:bCs/>
        </w:rPr>
        <w:t xml:space="preserve">14. WhatsApp reminders, </w:t>
      </w:r>
      <w:r>
        <w:t xml:space="preserve">sequenced after SMS per the roadmap — particularly high-leverage for the Singapore/Malaysia/broader-SEA markets the blog content is already targeting.</w:t>
      </w:r>
    </w:p>
    <w:p>
      <w:pPr>
        <w:pStyle w:val="Heading1"/>
        <w:spacing w:after="160" w:before="360"/>
      </w:pPr>
      <w:r>
        <w:t xml:space="preserve">Sources</w:t>
      </w:r>
    </w:p>
    <w:p>
      <w:pPr>
        <w:pStyle w:val="ListParagraph"/>
        <w:numPr>
          <w:ilvl w:val="0"/>
          <w:numId w:val="1"/>
        </w:numPr>
        <w:spacing w:after="90" w:line="280"/>
      </w:pPr>
      <w:r>
        <w:t xml:space="preserve">flowesce.com — homepage, /features and all 21 /features/* subpages, /pricing, /roadmap, /blog, /changelog, /login, /signup (primary source; live-tested July 16, 2026).</w:t>
      </w:r>
    </w:p>
    <w:p>
      <w:pPr>
        <w:pStyle w:val="ListParagraph"/>
        <w:numPr>
          <w:ilvl w:val="0"/>
          <w:numId w:val="1"/>
        </w:numPr>
        <w:spacing w:after="90" w:line="280"/>
      </w:pPr>
      <w:r>
        <w:t xml:space="preserve">The Salon Business — Best Salon Software Guide 2026: thesalonbusiness.com/best-salon-software/</w:t>
      </w:r>
    </w:p>
    <w:p>
      <w:pPr>
        <w:pStyle w:val="ListParagraph"/>
        <w:numPr>
          <w:ilvl w:val="0"/>
          <w:numId w:val="1"/>
        </w:numPr>
        <w:spacing w:after="90" w:line="280"/>
      </w:pPr>
      <w:r>
        <w:t xml:space="preserve">AgentZap — Vagaro vs Fresha vs Boulevard 2026: agentzap.ai/blog/vagaro-vs-fresha-vs-boulevard-salon-software-2026</w:t>
      </w:r>
    </w:p>
    <w:p>
      <w:pPr>
        <w:pStyle w:val="ListParagraph"/>
        <w:numPr>
          <w:ilvl w:val="0"/>
          <w:numId w:val="1"/>
        </w:numPr>
        <w:spacing w:after="90" w:line="280"/>
      </w:pPr>
      <w:r>
        <w:t xml:space="preserve">Zenoti — Salon Software Comparison 2026: zenoti.com/thecheckin/best-salon-software-comparison</w:t>
      </w:r>
    </w:p>
    <w:p>
      <w:pPr>
        <w:pStyle w:val="ListParagraph"/>
        <w:numPr>
          <w:ilvl w:val="0"/>
          <w:numId w:val="1"/>
        </w:numPr>
        <w:spacing w:after="90" w:line="280"/>
      </w:pPr>
      <w:r>
        <w:t xml:space="preserve">GlossGenius — Zenoti alternatives / salon software: glossgenius.com/blog/zenoti-alternatives, glossgenius.com/customers/salon-software</w:t>
      </w:r>
    </w:p>
    <w:p>
      <w:pPr>
        <w:pStyle w:val="ListParagraph"/>
        <w:numPr>
          <w:ilvl w:val="0"/>
          <w:numId w:val="1"/>
        </w:numPr>
        <w:spacing w:after="90" w:line="280"/>
      </w:pPr>
      <w:r>
        <w:t xml:space="preserve">Capterra — WESS and GlossGenius listings: capterra.com/p/131048/WESS/, capterra.com/p/174830/GlossGenius/</w:t>
      </w:r>
    </w:p>
    <w:p>
      <w:pPr>
        <w:pStyle w:val="ListParagraph"/>
        <w:numPr>
          <w:ilvl w:val="0"/>
          <w:numId w:val="1"/>
        </w:numPr>
        <w:spacing w:after="90" w:line="280"/>
      </w:pPr>
      <w:r>
        <w:t xml:space="preserve">Perkstar — Best loyalty apps for beauty salons 2026: perkstar.co.uk/blog/best-loyalty-apps-beauty-salons</w:t>
      </w:r>
    </w:p>
    <w:p>
      <w:pPr>
        <w:pStyle w:val="ListParagraph"/>
        <w:numPr>
          <w:ilvl w:val="0"/>
          <w:numId w:val="1"/>
        </w:numPr>
        <w:spacing w:after="90" w:line="280"/>
      </w:pPr>
      <w:r>
        <w:t xml:space="preserve">GetApp — FiveStars vs Marsello comparison: getapp.com/customer-management-software/a/fivestars/compare/goody/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Flowesce — Product &amp; Competitive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Georgia" w:cs="Georgia" w:eastAsia="Georgia" w:hAnsi="Georgia"/>
      <w:b/>
      <w:bCs/>
      <w:color w:val="222222"/>
      <w:sz w:val="52"/>
      <w:szCs w:val="52"/>
    </w:rPr>
  </w:style>
  <w:style w:type="paragraph" w:styleId="Heading1">
    <w:name w:val="Heading 1"/>
    <w:basedOn w:val="Normal"/>
    <w:next w:val="Normal"/>
    <w:qFormat/>
    <w:pPr>
      <w:pBdr>
        <w:bottom w:val="single" w:color="8A6E4B" w:sz="6" w:space="4"/>
      </w:pBdr>
      <w:spacing w:after="160" w:before="360"/>
    </w:pPr>
    <w:rPr>
      <w:rFonts w:ascii="Georgia" w:cs="Georgia" w:eastAsia="Georgia" w:hAnsi="Georgia"/>
      <w:b/>
      <w:bCs/>
      <w:color w:val="8A6E4B"/>
      <w:sz w:val="28"/>
      <w:szCs w:val="28"/>
    </w:rPr>
  </w:style>
  <w:style w:type="paragraph" w:styleId="Heading2">
    <w:name w:val="Heading 2"/>
    <w:basedOn w:val="Normal"/>
    <w:next w:val="Normal"/>
    <w:qFormat/>
    <w:pPr>
      <w:spacing w:after="120" w:before="260"/>
    </w:pPr>
    <w:rPr>
      <w:rFonts w:ascii="Georgia" w:cs="Georgia" w:eastAsia="Georgia" w:hAnsi="Georgia"/>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2026-07-15T18:20:29.791Z</dcterms:created>
  <dcterms:modified xsi:type="dcterms:W3CDTF">2026-07-15T18:20:29.792Z</dcterms:modified>
</cp:coreProperties>
</file>

<file path=docProps/custom.xml><?xml version="1.0" encoding="utf-8"?>
<Properties xmlns="http://schemas.openxmlformats.org/officeDocument/2006/custom-properties" xmlns:vt="http://schemas.openxmlformats.org/officeDocument/2006/docPropsVTypes"/>
</file>