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  <w:r>
        <w:rPr>
          <w:rFonts w:ascii="Noto Sans" w:hAnsi="Noto Sans" w:eastAsia="Noto Sans" w:cs="Noto Sans"/>
          <w:b w:val="0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-956945</wp:posOffset>
            </wp:positionH>
            <wp:positionV relativeFrom="margin">
              <wp:posOffset>-1024255</wp:posOffset>
            </wp:positionV>
            <wp:extent cx="7934325" cy="10096500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1009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60"/>
          <w:szCs w:val="60"/>
          <w:u w:val="none"/>
        </w:rPr>
      </w:pPr>
      <w:r>
        <w:rPr>
          <w:rFonts w:ascii="Noto Sans" w:hAnsi="Noto Sans" w:eastAsia="Noto Sans" w:cs="Noto Sans"/>
          <w:b w:val="0"/>
          <w:color w:val="014486"/>
          <w:sz w:val="44"/>
          <w:szCs w:val="44"/>
          <w:u w:val="none"/>
          <w:rtl w:val="0"/>
        </w:rPr>
        <w:t>Technology &amp; Communications Sector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  <w:rtl w:val="0"/>
        </w:rPr>
        <w:t>FY ESG Report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  <w:rtl w:val="0"/>
        </w:rPr>
        <w:t>SASB Standard Reporting Year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20"/>
          <w:szCs w:val="20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SASB2023_</w:t>
      </w:r>
      <w:r>
        <w:rPr>
          <w:rFonts w:hint="default" w:ascii="Noto Sans" w:hAnsi="Noto Sans" w:eastAsia="Noto Sans"/>
          <w:b w:val="0"/>
          <w:color w:val="181818"/>
          <w:sz w:val="20"/>
          <w:szCs w:val="20"/>
          <w:u w:val="none"/>
          <w:rtl w:val="0"/>
        </w:rPr>
        <w:t>TECHCOMMSASB2023DF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_English</w:t>
      </w:r>
      <w:r>
        <w:rPr>
          <w:rFonts w:ascii="Noto Sans" w:hAnsi="Noto Sans" w:eastAsia="Noto Sans" w:cs="Noto Sans"/>
          <w:b w:val="0"/>
          <w:sz w:val="20"/>
          <w:szCs w:val="20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{{#Preliminary Question}}{{#value}}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Start Date  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: 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{{#NZCDCHSASB__ReportingStartDate}}{{value}}{{/NZCDCHSASB__ReportingStartDate}}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End Date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   :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 {{#NZCDCHSASB__ReportingEndDate}}{{value}}{{/NZCDCHSASB__ReportingEndDate}}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{{/value}}{{/Preliminary Question}}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  <w:r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  <w:rtl w:val="0"/>
        </w:rPr>
        <w:t xml:space="preserve"> 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Generated by Salesforce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14"/>
          <w:szCs w:val="1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1440" w:right="1440" w:bottom="1440" w:left="1440" w:header="720" w:footer="720" w:gutter="0"/>
          <w:pgNumType w:start="0"/>
          <w:cols w:space="708" w:num="1"/>
          <w:titlePg/>
        </w:sect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Disclosure and Compliance Hub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Table of Contents</w:t>
      </w:r>
    </w:p>
    <w:p>
      <w:pPr>
        <w:pStyle w:val="3"/>
        <w:jc w:val="center"/>
        <w:rPr>
          <w:rFonts w:ascii="Noto Sans Medium" w:hAnsi="Noto Sans Medium" w:eastAsia="Noto Sans Medium" w:cs="Noto Sans Medium"/>
          <w:b w:val="0"/>
          <w:color w:val="014486"/>
          <w:sz w:val="36"/>
          <w:szCs w:val="36"/>
          <w:u w:val="none"/>
        </w:rPr>
      </w:pPr>
    </w:p>
    <w:sdt>
      <w:sdtPr>
        <w:id w:val="1589513504"/>
        <w:docPartObj>
          <w:docPartGallery w:val="Table of Contents"/>
          <w:docPartUnique/>
        </w:docPartObj>
      </w:sdtPr>
      <w:sdtContent>
        <w:p>
          <w:pPr>
            <w:pStyle w:val="3"/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color="auto" w:fill="auto"/>
            <w:tabs>
              <w:tab w:val="right" w:pos="12000"/>
            </w:tabs>
            <w:spacing w:before="60" w:after="0" w:line="240" w:lineRule="auto"/>
            <w:ind w:left="0" w:right="0" w:firstLine="0"/>
            <w:jc w:val="left"/>
            <w:rPr>
              <w:rFonts w:ascii="Noto Sans" w:hAnsi="Noto Sans" w:eastAsia="Noto Sans" w:cs="Noto Sans"/>
              <w:color w:val="014486"/>
              <w:sz w:val="24"/>
              <w:szCs w:val="24"/>
              <w:u w:val="no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"_gjdgxs" \h </w:instrText>
          </w:r>
          <w:r>
            <w:fldChar w:fldCharType="separate"/>
          </w:r>
          <w:r>
            <w:rPr>
              <w:rFonts w:ascii="Noto Sans" w:hAnsi="Noto Sans" w:eastAsia="Noto Sans" w:cs="Noto Sans"/>
              <w:color w:val="014486"/>
              <w:sz w:val="24"/>
              <w:szCs w:val="24"/>
              <w:u w:val="none"/>
              <w:rtl w:val="0"/>
            </w:rPr>
            <w:t>Internet Media &amp; Services</w:t>
          </w:r>
          <w:r>
            <w:rPr>
              <w:rFonts w:ascii="Noto Sans" w:hAnsi="Noto Sans" w:eastAsia="Noto Sans" w:cs="Noto Sans"/>
              <w:color w:val="014486"/>
              <w:sz w:val="24"/>
              <w:szCs w:val="24"/>
              <w:u w:val="none"/>
              <w:rtl w:val="0"/>
            </w:rPr>
            <w:tab/>
          </w:r>
          <w:r>
            <w:rPr>
              <w:rFonts w:ascii="Noto Sans" w:hAnsi="Noto Sans" w:eastAsia="Noto Sans" w:cs="Noto Sans"/>
              <w:color w:val="014486"/>
              <w:sz w:val="24"/>
              <w:szCs w:val="24"/>
              <w:u w:val="none"/>
              <w:rtl w:val="0"/>
            </w:rPr>
            <w:t>2</w:t>
          </w:r>
          <w:r>
            <w:rPr>
              <w:rFonts w:ascii="Noto Sans" w:hAnsi="Noto Sans" w:eastAsia="Noto Sans" w:cs="Noto Sans"/>
              <w:color w:val="014486"/>
              <w:sz w:val="24"/>
              <w:szCs w:val="24"/>
              <w:u w:val="no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"_30j0zll"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"_1fob9te"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"_3znysh7"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"_2et92p0"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"_tyjcwt"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10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"_3dy6vkm" \h </w:instrText>
          </w:r>
          <w:r>
            <w:fldChar w:fldCharType="separate"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Software &amp; IT Services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10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"_1t3h5sf"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"_4d34og8"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"_2s8eyo1"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"_17dp8vu"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"_3rdcrjn"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18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"_26in1rg"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19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"_lnxbz9" \h </w:instrText>
          </w:r>
          <w:r>
            <w:fldChar w:fldCharType="separate"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Telecommunication Services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19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"_35nkun2"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19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"_1ksv4uv"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20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"_44sinio"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20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"_2jxsxqh"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"_z337ya"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Noto Sans" w:hAnsi="Noto Sans" w:eastAsia="Noto Sans" w:cs="Noto Sans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"_3j2qqm3" \h </w:instrText>
          </w:r>
          <w:r>
            <w:fldChar w:fldCharType="separate"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Hardware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22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"_1y810tw"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"_4i7ojhp"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"_2xcytpi"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28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"_1ci93xb"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28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"_3whwml4"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29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>
      <w:pPr>
        <w:pStyle w:val="3"/>
        <w:rPr>
          <w:rFonts w:ascii="Noto Sans Medium" w:hAnsi="Noto Sans Medium" w:eastAsia="Noto Sans Medium" w:cs="Noto Sans Medium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0" w:name="_gjdgxs" w:colFirst="0" w:colLast="0"/>
      <w:bookmarkEnd w:id="0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 xml:space="preserve"> Internet Media &amp; Services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{{#Environmental Footprint of Hardware Infrastructure}}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" w:name="_30j0zll" w:colFirst="0" w:colLast="0"/>
      <w:bookmarkEnd w:id="1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</w:p>
    <w:p>
      <w:pPr>
        <w:pStyle w:val="3"/>
        <w:ind w:left="0" w:firstLine="0"/>
        <w:jc w:val="both"/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{{value}}{{/NZCDCHSASB__TCUIMU130aD1a}}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{{value}}{{/NZCDCHSASB__TCUIMU130aD1b}}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{{value}}{{/NZCDCHSASB__TCUIMU130aD1c}}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{{value}}{{/NZCDCHSASB__TCUIMU130aD2a}}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{{value}}{{/NZCDCHSASB__TCUIMU130aD2b}}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{{value}}{{/NZCDCHSASB__TCUIMU130aD2c}}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{{#NZCDCHSASB__TCUIMU130aD3a}}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{{value}}{{/NZCDCHSASB__TCUIMU130aD3a}}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{{/Environmental Footprint of Hardware Infrastructure}}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{{#Data Privacy Advertising Standards Freedom of Expression}}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2" w:name="_1fob9te" w:colFirst="0" w:colLast="0"/>
      <w:bookmarkEnd w:id="2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{{value}}{{/NZCDCHSASB__TCUIMU220aD1a}}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{{value}}{{/NZCDCHSASB__TCUIMU220aD2a}}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Sub-type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Fine Amount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{{#NZCDCHSASB__TCUIMU220aD3aDi}}{{value}}{{/NZCDCHSASB__TCUIMU220aD3aDi}}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{{#NZCDCHSASB__TCUIMU220aD3aDii}}{{value}}{{/NZCDCHSASB__TCUIMU220aD3aDii}}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{{#NZCDCHSASB__TCUIMU220aD3aDiii}}{{value}}{{/NZCDCHSASB__TCUIMU220aD3aDiii}}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{{#NZCDCHSASB__TCUIMU220aD3aDiv}}{{value}}{{/NZCDCHSASB__TCUIMU220aD3aDiv}}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{{/NZCDCHSASB__TCUIMU220aD3a}}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{{value}}{{/NZCDCHSASB__TCUIMU220aD3b}}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{{value}}{{/NZCDCHSASB__TCUIMU220aD4a}}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{{value}}{{/NZCDCHSASB__TCUIMU220aD4b}}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{{#NZCDCHSASB__TCUIMU220aD4c}}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{{value}}{{/NZCDCHSASB__TCUIMU220aD4c}}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{{#NZCDCHSASB__TCUIMU220aD5a}}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{{value}}{{/NZCDCHSASB__TCUIMU220aD5a}}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{{#NZCDCHSASB__TCUIMU220aD5b}}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{{value}}{{/NZCDCHSASB__TCUIMU220aD5b}}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{{#NZCDCHSASB__TCUIMU220aD6a}}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{{value}}{{/NZCDCHSASB__TCUIMU220aD6a}}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{{#NZCDCHSASB__TCUIMU220aD6b}}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{{value}}{{/NZCDCHSASB__TCUIMU220aD6b}}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{{/Data Privacy Advertising Standards Freedom of Expression}}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{{#Data Security}}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3" w:name="_3znysh7" w:colFirst="0" w:colLast="0"/>
      <w:bookmarkEnd w:id="3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{{value}}{{/NZCDCHSASB__TCUIMU230aD1a}}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{{#NZCDCHSASB__TCUIMU230aD1b}}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Sub-type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Percent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{{#NZCDCHSASB__TCUIMU230aD1bDi}}{{value}}{{/NZCDCHSASB__TCUIMU230aD1bDi}}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{{#NZCDCHSASB__TCUIMU230aD1bDii}}{{value}}{{/NZCDCHSASB__TCUIMU230aD1bDii}}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{{#NZCDCHSASB__TCUIMU230aD1bDiii}}{{value}}{{/NZCDCHSASB__TCUIMU230aD1bDiii}}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{{#NZCDCHSASB__TCUIMU230aD1bDiv}}{{value}}{{/NZCDCHSASB__TCUIMU230aD1bDiv}}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{{/NZCDCHSASB__TCUIMU230aD1b}}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{{#NZCDCHSASB__TCUIMU230aD1c}}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{{value}}{{/NZCDCHSASB__TCUIMU230aD1c}}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{{#NZCDCHSASB__TCUIMU230aD1d}}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{{value}}{{/NZCDCHSASB__TCUIMU230aD1d}}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{{#NZCDCHSASB__TCUIMU230aD2a}}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{{value}}{{/NZCDCHSASB__TCUIMU230aD2a}}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{{/Data Security}}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{{#Employee Recruitment Inclusion Performance}}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4" w:name="_2et92p0" w:colFirst="0" w:colLast="0"/>
      <w:bookmarkEnd w:id="4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Location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NZCDCHSASB__TCUIMU330aD1aDiv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{{/NZCDCHSASB__TCUIMU330aD1a}}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{{value}}{{/NZCDCHSASB__TCUIMU330aD1b}}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{{value}}{{/NZCDCHSASB__TCUIMU330aD2a}}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{{value}}{{/NZCDCHSASB__TCUIMU330aD2b}}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{{#NZCDCHSASB__TCUIMU330aD3aa}}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{{#NZCDCHSASB__TCUIMU330aD3aaDi}}{{value}}{{/NZCDCHSASB__TCUIMU330aD3aaDi}}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{{#NZCDCHSASB__TCUIMU330aD3aaDii}}{{value}}{{/NZCDCHSASB__TCUIMU330aD3aaDii}}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{{#NZCDCHSASB__TCUIMU330aD3aaDiii}}{{value}}{{/NZCDCHSASB__TCUIMU330aD3aaDiii}}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{{#NZCDCHSASB__TCUIMU330aD3aaDv}}{{value}}{{/NZCDCHSASB__TCUIMU330aD3aaDv}}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{{#NZCDCHSASB__TCUIMU330aD3aaDiv}}{{value}}{{/NZCDCHSASB__TCUIMU330aD3aaDiv}}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{{/NZCDCHSASB__TCUIMU330aD3aa}}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 Medium" w:hAnsi="Noto Sans Medium" w:eastAsia="Noto Sans Medium" w:cs="Noto Sans Medium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NZCDCHSASB__TCUIMU330aD3bDiv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{{#NZCDCHSASB__TCUIMU330aD3bb}}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{{value}}{{/NZCDCHSASB__TCUIMU330aD3bb}}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NZCDCHSASB__TCUIMU330aD3cDiv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{{/NZCDCHSASB__TCUIMU330aD3c}}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NZCDCHSASB__TCUIMU330aD3dDiv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{{/NZCDCHSASB__TCUIMU330aD3d}}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NZCDCHSASB__TCUIMU330aD3eDiv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NZCDCHSASB__TCUIMU330aD3fDiv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{{/NZCDCHSASB__TCUIMU330aD3f}}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NZCDCHSASB__TCUIMU330aD3gDiv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{{/NZCDCHSASB__TCUIMU330aD3g}}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NZCDCHSASB__TCUIMU330aD3hDiv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{{/NZCDCHSASB__TCUIMU330aD3h}}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{{#NZCDCHSASB__TCUIMU330aD3i}}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NZCDCHSASB__TCUIMU330aD3iDiv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{{/NZCDCHSASB__TCUIMU330aD3i}}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{{#NZCDCHSASB__TCUIMU330aD3jDi}}{{value}}{{/NZCDCHSASB__TCUIMU330aD3jDi}}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{{#NZCDCHSASB__TCUIMU330aD3jDii}}{{value}}{{/NZCDCHSASB__TCUIMU330aD3jDii}}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{{#NZCDCHSASB__TCUIMU330aD3jDiii}}{{value}}{{/NZCDCHSASB__TCUIMU330aD3jDiii}}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{{#NZCDCHSASB__TCUIMU330aD3jDv}}{{value}}{{/NZCDCHSASB__TCUIMU330aD3jDv}}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{{#NZCDCHSASB__TCUIMU330aD3jDiv}}{{value}}{{/NZCDCHSASB__TCUIMU330aD3jDiv}}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{{/NZCDCHSASB__TCUIMU330aD3j}}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{{#NZCDCHSASB__TCUIMU330aD3k}}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{{#NZCDCHSASB__TCUIMU330aD3kDi}}{{value}}{{/NZCDCHSASB__TCUIMU330aD3kDi}}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{{#NZCDCHSASB__TCUIMU330aD3kDii}}{{value}}{{/NZCDCHSASB__TCUIMU330aD3kDii}}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{{#NZCDCHSASB__TCUIMU330aD3kDiii}}{{value}}{{/NZCDCHSASB__TCUIMU330aD3kDiii}}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{{#NZCDCHSASB__TCUIMU330aD3kDv}}{{value}}{{/NZCDCHSASB__TCUIMU330aD3kDv}}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{{#NZCDCHSASB__TCUIMU330aD3kDiv}}{{value}}{{/NZCDCHSASB__TCUIMU330aD3kDiv}}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{{/NZCDCHSASB__TCUIMU330aD3k}}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{{#NZCDCHSASB__TCUIMU330aD3l}}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2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{{#NZCDCHSASB__TCUIMU330aD3lDi}}{{value}}{{/NZCDCHSASB__TCUIMU330aD3lDi}}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{{#NZCDCHSASB__TCUIMU330aD3lDii}}{{value}}{{/NZCDCHSASB__TCUIMU330aD3lDii}}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{{#NZCDCHSASB__TCUIMU330aD3lDiii}}{{value}}{{/NZCDCHSASB__TCUIMU330aD3lDiii}}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{{#NZCDCHSASB__TCUIMU330aD3lDv}}{{value}}{{/NZCDCHSASB__TCUIMU330aD3lDv}}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{{#NZCDCHSASB__TCUIMU330aD3lDiv}}{{value}}{{/NZCDCHSASB__TCUIMU330aD3lDiv}}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{{#NZCDCHSASB__TCUIMU330aD3m}}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{{#NZCDCHSASB__TCUIMU330aD3mDi}}{{value}}{{/NZCDCHSASB__TCUIMU330aD3mDi}}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{{#NZCDCHSASB__TCUIMU330aD3mDii}}{{value}}{{/NZCDCHSASB__TCUIMU330aD3mDii}}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{{#NZCDCHSASB__TCUIMU330aD3mDiii}}{{value}}{{/NZCDCHSASB__TCUIMU330aD3mDiii}}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{{#NZCDCHSASB__TCUIMU330aD3mDv}}{{value}}{{/NZCDCHSASB__TCUIMU330aD3mDv}}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{{#NZCDCHSASB__TCUIMU330aD3mDiv}}{{value}}{{/NZCDCHSASB__TCUIMU330aD3mDiv}}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{{/NZCDCHSASB__TCUIMU330aD3m}}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{{#NZCDCHSASB__TCUIMU330aD3n}}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{{#NZCDCHSASB__TCUIMU330aD3nDi}}{{value}}{{/NZCDCHSASB__TCUIMU330aD3nDi}}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{{#NZCDCHSASB__TCUIMU330aD3nDii}}{{value}}{{/NZCDCHSASB__TCUIMU330aD3nDii}}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{{#NZCDCHSASB__TCUIMU330aD3nDiii}}{{value}}{{/NZCDCHSASB__TCUIMU330aD3nDiii}}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{{#NZCDCHSASB__TCUIMU330aD3nDv}}{{value}}{{/NZCDCHSASB__TCUIMU330aD3nDv}}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{{#NZCDCHSASB__TCUIMU330aD3nDiv}}{{value}}{{/NZCDCHSASB__TCUIMU330aD3nDiv}}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{{/NZCDCHSASB__TCUIMU330aD3n}}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{{#NZCDCHSASB__TCUIMU330aD3o}}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{{#NZCDCHSASB__TCUIMU330aD3oDi}}{{value}}{{/NZCDCHSASB__TCUIMU330aD3oDi}}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{{#NZCDCHSASB__TCUIMU330aD3oDii}}{{value}}{{/NZCDCHSASB__TCUIMU330aD3oDii}}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{{#NZCDCHSASB__TCUIMU330aD3oDiii}}{{value}}{{/NZCDCHSASB__TCUIMU330aD3oDiii}}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{{#NZCDCHSASB__TCUIMU330aD3oDv}}{{value}}{{/NZCDCHSASB__TCUIMU330aD3oDv}}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{{#NZCDCHSASB__TCUIMU330aD3oDiv}}{{value}}{{/NZCDCHSASB__TCUIMU330aD3oDiv}}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{{/NZCDCHSASB__TCUIMU330aD3o}}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{{#NZCDCHSASB__TCUIMU330aD3p}}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{{#NZCDCHSASB__TCUIMU330aD3pDi}}{{value}}{{/NZCDCHSASB__TCUIMU330aD3pDi}}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{{#NZCDCHSASB__TCUIMU330aD3pDii}}{{value}}{{/NZCDCHSASB__TCUIMU330aD3pDii}}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{{#NZCDCHSASB__TCUIMU330aD3pDiii}}{{value}}{{/NZCDCHSASB__TCUIMU330aD3pDiii}}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{{#NZCDCHSASB__TCUIMU330aD3pDv}}{{value}}{{/NZCDCHSASB__TCUIMU330aD3pDv}}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{{#NZCDCHSASB__TCUIMU330aD3pDiv}}{{value}}{{/NZCDCHSASB__TCUIMU330aD3pDiv}}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{{/NZCDCHSASB__TCUIMU330aD3p}}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{{#NZCDCHSASB__TCUIMU330aD3q}}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{{#NZCDCHSASB__TCUIMU330aD3qDi}}{{value}}{{/NZCDCHSASB__TCUIMU330aD3qDi}}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{{#NZCDCHSASB__TCUIMU330aD3qDii}}{{value}}{{/NZCDCHSASB__TCUIMU330aD3qDii}}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{{#NZCDCHSASB__TCUIMU330aD3qDiii}}{{value}}{{/NZCDCHSASB__TCUIMU330aD3qDiii}}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{{#NZCDCHSASB__TCUIMU330aD3qDv}}{{value}}{{/NZCDCHSASB__TCUIMU330aD3qDv}}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{{#NZCDCHSASB__TCUIMU330aD3qDiv}}{{value}}{{/NZCDCHSASB__TCUIMU330aD3qDiv}}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{{/NZCDCHSASB__TCUIMU330aD3q}}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{{#NZCDCHSASB__TCUIMU330aD3r}}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{{#NZCDCHSASB__TCUIMU330aD3rDi}}{{value}}{{/NZCDCHSASB__TCUIMU330aD3rDi}}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{{#NZCDCHSASB__TCUIMU330aD3rDii}}{{value}}{{/NZCDCHSASB__TCUIMU330aD3rDii}}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{{#NZCDCHSASB__TCUIMU330aD3rDiii}}{{value}}{{/NZCDCHSASB__TCUIMU330aD3rDiii}}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{{#NZCDCHSASB__TCUIMU330aD3rDv}}{{value}}{{/NZCDCHSASB__TCUIMU330aD3rDv}}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{{#NZCDCHSASB__TCUIMU330aD3rDiv}}{{value}}{{/NZCDCHSASB__TCUIMU330aD3rDiv}}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{{/NZCDCHSASB__TCUIMU330aD3r}}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{{#NZCDCHSASB__TCUIMU330aD3s}}{{label}}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{{#NZCDCHSASB__TCUIMU330aD3sDi}}{{value}}{{/NZCDCHSASB__TCUIMU330aD3sDi}}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{{#NZCDCHSASB__TCUIMU330aD3sDii}}{{value}}{{/NZCDCHSASB__TCUIMU330aD3sDii}}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{{#NZCDCHSASB__TCUIMU330aD3sDiii}}{{value}}{{/NZCDCHSASB__TCUIMU330aD3sDiii}}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{{#NZCDCHSASB__TCUIMU330aD3sDv}}{{value}}{{/NZCDCHSASB__TCUIMU330aD3sDv}}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{{#NZCDCHSASB__TCUIMU330aD3sDiv}}{{value}}{{/NZCDCHSASB__TCUIMU330aD3sDiv}}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{{/NZCDCHSASB__TCUIMU330aD3s}}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{{#NZCDCHSASB__TCUIMU330aD3t}}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{{#NZCDCHSASB__TCUIMU330aD3tDi}}{{value}}{{/NZCDCHSASB__TCUIMU330aD3tDi}}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{{#NZCDCHSASB__TCUIMU330aD3tDii}}{{value}}{{/NZCDCHSASB__TCUIMU330aD3tDii}}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{{#NZCDCHSASB__TCUIMU330aD3tDiii}}{{value}}{{/NZCDCHSASB__TCUIMU330aD3tDiii}}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{{#NZCDCHSASB__TCUIMU330aD3tDv}}{{value}}{{/NZCDCHSASB__TCUIMU330aD3tDv}}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{{#NZCDCHSASB__TCUIMU330aD3tDiv}}{{value}}{{/NZCDCHSASB__TCUIMU330aD3tDiv}}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{{/NZCDCHSASB__TCUIMU330aD3t}}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{{#NZCDCHSASB__TCUIMU330aD3u}}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{{#NZCDCHSASB__TCUIMU330aD3uDi}}{{value}}{{/NZCDCHSASB__TCUIMU330aD3uDi}}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{{#NZCDCHSASB__TCUIMU330aD3uDii}}{{value}}{{/NZCDCHSASB__TCUIMU330aD3uDii}}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{{#NZCDCHSASB__TCUIMU330aD3uDiii}}{{value}}{{/NZCDCHSASB__TCUIMU330aD3uDiii}}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{{#NZCDCHSASB__TCUIMU330aD3uDv}}{{value}}{{/NZCDCHSASB__TCUIMU330aD3uDv}}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{{#NZCDCHSASB__TCUIMU330aD3uDiv}}{{value}}{{/NZCDCHSASB__TCUIMU330aD3uDiv}}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{{/NZCDCHSASB__TCUIMU330aD3u}}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{{#NZCDCHSASB__TCUIMU330aD3v}}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3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{{#NZCDCHSASB__TCUIMU330aD3vDi}}{{value}}{{/NZCDCHSASB__TCUIMU330aD3vDi}}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{{#NZCDCHSASB__TCUIMU330aD3vDii}}{{value}}{{/NZCDCHSASB__TCUIMU330aD3vDii}}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{{#NZCDCHSASB__TCUIMU330aD3vDiii}}{{value}}{{/NZCDCHSASB__TCUIMU330aD3vDiii}}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{{#NZCDCHSASB__TCUIMU330aD3vDv}}{{value}}{{/NZCDCHSASB__TCUIMU330aD3vDv}}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{{#NZCDCHSASB__TCUIMU330aD3vDiv}}{{value}}{{/NZCDCHSASB__TCUIMU330aD3vDiv}}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{{/NZCDCHSASB__TCUIMU330aD3v}}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{{#NZCDCHSASB__TCUIMU330aD3w}}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{{#NZCDCHSASB__TCUIMU330aD3wDi}}{{value}}{{/NZCDCHSASB__TCUIMU330aD3wDi}}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{{#NZCDCHSASB__TCUIMU330aD3wDii}}{{value}}{{/NZCDCHSASB__TCUIMU330aD3wDii}}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{{#NZCDCHSASB__TCUIMU330aD3wDiii}}{{value}}{{/NZCDCHSASB__TCUIMU330aD3wDiii}}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{{#NZCDCHSASB__TCUIMU330aD3wDv}}{{value}}{{/NZCDCHSASB__TCUIMU330aD3wDv}}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{{#NZCDCHSASB__TCUIMU330aD3wDiv}}{{value}}{{/NZCDCHSASB__TCUIMU330aD3wDiv}}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{{/NZCDCHSASB__TCUIMU330aD3w}}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{{#NZCDCHSASB__TCUIMU330aD3x}}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{{#NZCDCHSASB__TCUIMU330aD3xDi}}{{value}}{{/NZCDCHSASB__TCUIMU330aD3xDi}}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{{#NZCDCHSASB__TCUIMU330aD3xDii}}{{value}}{{/NZCDCHSASB__TCUIMU330aD3xDii}}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{{#NZCDCHSASB__TCUIMU330aD3xDiii}}{{value}}{{/NZCDCHSASB__TCUIMU330aD3xDiii}}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{{#NZCDCHSASB__TCUIMU330aD3xDv}}{{value}}{{/NZCDCHSASB__TCUIMU330aD3xDv}}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{{#NZCDCHSASB__TCUIMU330aD3xDiv}}{{value}}{{/NZCDCHSASB__TCUIMU330aD3xDiv}}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{{/NZCDCHSASB__TCUIMU330aD3x}}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{{#NZCDCHSASB__TCUIMU330aD3y}}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{{#NZCDCHSASB__TCUIMU330aD3yDi}}{{value}}{{/NZCDCHSASB__TCUIMU330aD3yDi}}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{{#NZCDCHSASB__TCUIMU330aD3yDii}}{{value}}{{/NZCDCHSASB__TCUIMU330aD3yDii}}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{{#NZCDCHSASB__TCUIMU330aD3yDiii}}{{value}}{{/NZCDCHSASB__TCUIMU330aD3yDiii}}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{{#NZCDCHSASB__TCUIMU330aD3yDv}}{{value}}{{/NZCDCHSASB__TCUIMU330aD3yDv}}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{{#NZCDCHSASB__TCUIMU330aD3yDiv}}{{value}}{{/NZCDCHSASB__TCUIMU330aD3yDiv}}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{{/NZCDCHSASB__TCUIMU330aD3y}}</w:t>
      </w:r>
    </w:p>
    <w:p>
      <w:pPr>
        <w:pStyle w:val="3"/>
        <w:spacing w:line="276" w:lineRule="auto"/>
        <w:ind w:left="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{{#NZCDCHSASB__TCUIMU330aD3z}}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{{#NZCDCHSASB__TCUIMU330aD3zDi}}{{value}}{{/NZCDCHSASB__TCUIMU330aD3zDi}}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{{#NZCDCHSASB__TCUIMU330aD3zDii}}{{value}}{{/NZCDCHSASB__TCUIMU330aD3zDii}}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{{#NZCDCHSASB__TCUIMU330aD3zDiii}}{{value}}{{/NZCDCHSASB__TCUIMU330aD3zDiii}}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{{#NZCDCHSASB__TCUIMU330aD3zDv}}{{value}}{{/NZCDCHSASB__TCUIMU330aD3zDv}}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{{#NZCDCHSASB__TCUIMU330aD3zDiv}}{{value}}{{/NZCDCHSASB__TCUIMU330aD3zDiv}}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b w:val="0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{{/NZCDCHSASB__TCUIMU330aD3z}}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{{/Employee Recruitment Inclusion Performance}}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{{#Intellectual Property Protection Competitive Behavior}}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5" w:name="_tyjcwt" w:colFirst="0" w:colLast="0"/>
      <w:bookmarkEnd w:id="5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{{#NZCDCHSASB__TCUIMU520aD1a}}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Fine Amount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NZCDCHSASB__TCUIMU520aD1aDiv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{{/NZCDCHSASB__TCUIMU520aD1a}}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{{#NZCDCHSASB__TCUIMU520aD1b}}{{label}}</w:t>
      </w:r>
    </w:p>
    <w:p>
      <w:pPr>
        <w:pStyle w:val="3"/>
        <w:spacing w:line="276" w:lineRule="auto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{{value}}{{/NZCDCHSASB__TCUIMU520aD1b}}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{{/Intellectual Property Protection Competitive Behavior}}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22"/>
          <w:szCs w:val="22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22"/>
          <w:szCs w:val="22"/>
          <w:u w:val="none"/>
        </w:rPr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6" w:name="_3dy6vkm" w:colFirst="0" w:colLast="0"/>
      <w:bookmarkEnd w:id="6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Software &amp; IT Services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{{#Environmental Footprint of Hardware Infrastructure SI}}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7" w:name="_1t3h5sf" w:colFirst="0" w:colLast="0"/>
      <w:bookmarkEnd w:id="7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{{value}}{{/NZCDCHSASB__TCUSIU130aD2a}}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{{value}}{{/NZCDCHSASB__TCUSIU130aD2b}}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{{value}}{{/NZCDCHSASB__TCUSIU130aD2c}}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{{#NZCDCHSASB__TCUSIU130aD2d}}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{{value}}{{/NZCDCHSASB__TCUSIU130aD2d}}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{{#NZCDCHSASB__TCUSIU130aD3a}}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{{value}}{{/NZCDCHSASB__TCUSIU130aD3a}}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value</w:t>
      </w: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}}</w:t>
      </w: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{{/Environmental Footprint of Hardware Infrastructure SI}}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Privacy Freedom of Expression}}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8" w:name="_4d34og8" w:colFirst="0" w:colLast="0"/>
      <w:bookmarkEnd w:id="8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{{value}}{{/NZCDCHSASB__TCUSIU220aD2a}}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{{#NZCDCHSASB__TCUSIU220aD3a}}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Fine Amount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{{#NZCDCHSASB__TCUSIU220aD3aDi}}{{value}}{{/NZCDCHSASB__TCUSIU220aD3aDi}}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{{#NZCDCHSASB__TCUSIU220aD3aDii}}{{value}}{{/NZCDCHSASB__TCUSIU220aD3aDii}}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{{#NZCDCHSASB__TCUSIU220aD3aDiii}}{{value}}{{/NZCDCHSASB__TCUSIU220aD3aDiii}}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{{#NZCDCHSASB__TCUSIU220aD3aDiv}}{{value}}{{/NZCDCHSASB__TCUSIU220aD3aDiv}}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{{/NZCDCHSASB__TCUSIU220aD3a}}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{{value}}{{/NZCDCHSASB__TCUSIU220aD3b}}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{{value}}{{/NZCDCHSASB__TCUSIU220aD4a}}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{{value}}{{/NZCDCHSASB__TCUSIU220aD4b}}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{{#NZCDCHSASB__TCUSIU220aD4c}}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{{value}}{{/NZCDCHSASB__TCUSIU220aD4c}}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{{#NZCDCHSASB__TCUSIU220aD5a}}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{{value}}{{/NZCDCHSASB__TCUSIU220aD5a}}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{{#NZCDCHSASB__TCUSIU220aD5b}}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{{value}}{{/NZCDCHSASB__TCUSIU220aD5b}}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{{/value}}{{/Data Privacy Freedom of Expression}}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Security SI}}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9" w:name="_2s8eyo1" w:colFirst="0" w:colLast="0"/>
      <w:bookmarkEnd w:id="9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{{value}}{{/NZCDCHSASB__TCUSIU230aD1a}}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Percent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Diii}}{{value}}{{/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Div}}{{value}}{{/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ind w:lef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{{/NZCDCHSASB__TCUSIU230aD1b}}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{{value}}{{/NZCDCHSASB__TCUSIU230aD1c}}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{{value}}{{/NZCDCHSASB__TCUSIU230aD1d}}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{{#NZCDCHSASB__TCUSIU230aD2a}}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{{value}}{{/NZCDCHSASB__TCUSIU230aD2a}}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{{/value}}{{/Data Security SI}}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{{#Recruiting Managing a Global Diverse Skilled Workforce}}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0" w:name="_17dp8vu" w:colFirst="0" w:colLast="0"/>
      <w:bookmarkEnd w:id="10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{{value}}{{/NZCDCHSASB__TCUSIU330aD1a}}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{{value}}{{/NZCDCHSASB__TCUSIU330aD1b}}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{{value}}{{/NZCDCHSASB__TCUSIU330aD1c}}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{{value}}{{/NZCDCHSASB__TCUSIU330aD2a}}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{{value}}{{/NZCDCHSASB__TCUSIU330aD2b}}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{{#NZCDCHSASB__TCUSIU330aD3aa}}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{{#NZCDCHSASB__TCUSIU330aD3aaDi}}{{value}}{{/NZCDCHSASB__TCUSIU330aD3aaDi}}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{{#NZCDCHSASB__TCUSIU330aD3aaDii}}{{value}}{{/NZCDCHSASB__TCUSIU330aD3aaDii}}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{{#NZCDCHSASB__TCUSIU330aD3aaDiii}}{{value}}{{/NZCDCHSASB__TCUSIU330aD3aaDiii}}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{{#NZCDCHSASB__TCUSIU330aD3aaDv}}{{value}}{{/NZCDCHSASB__TCUSIU330aD3aaDv}}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{{#NZCDCHSASB__TCUSIU330aD3aaDiv}}{{value}}{{/NZCDCHSASB__TCUSIU330aD3aaDiv}}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{{/NZCDCHSASB__TCUSIU330aD3aa}}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4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NZCDCHSASB__TCUSIU330aD3bDiv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{{#NZCDCHSASB__TCUSIU330aD3bb}}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{{value}}{{/NZCDCHSASB__TCUSIU330aD3bb}}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NZCDCHSASB__TCUSIU330aD3cDiv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{{/NZCDCHSASB__TCUSIU330aD3c}}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NZCDCHSASB__TCUSIU330aD3dDiv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{{/NZCDCHSASB__TCUSIU330aD3d}}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NZCDCHSASB__TCUSIU330aD3eDiv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NZCDCHSASB__TCUSIU330aD3fDiv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{{/NZCDCHSASB__TCUSIU330aD3f}}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NZCDCHSASB__TCUSIU330aD3gDiv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{{/NZCDCHSASB__TCUSIU330aD3g}}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NZCDCHSASB__TCUSIU330aD3hDiv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{{/NZCDCHSASB__TCUSIU330aD3h}}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{{#NZCDCHSASB__TCUSIU330aD3i}}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NZCDCHSASB__TCUSIU330aD3iDiv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{{/NZCDCHSASB__TCUSIU330aD3i}}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{{#NZCDCHSASB__TCUSIU330aD3jDi}}{{value}}{{/NZCDCHSASB__TCUSIU330aD3jDi}}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{{#NZCDCHSASB__TCUSIU330aD3jDii}}{{value}}{{/NZCDCHSASB__TCUSIU330aD3jDii}}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{{#NZCDCHSASB__TCUSIU330aD3jDiii}}{{value}}{{/NZCDCHSASB__TCUSIU330aD3jDiii}}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{{#NZCDCHSASB__TCUSIU330aD3jDv}}{{value}}{{/NZCDCHSASB__TCUSIU330aD3jDv}}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{{#NZCDCHSASB__TCUSIU330aD3jDiv}}{{value}}{{/NZCDCHSASB__TCUSIU330aD3jDiv}}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{{/NZCDCHSASB__TCUSIU330aD3j}}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{{#NZCDCHSASB__TCUSIU330aD3k}}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{{#NZCDCHSASB__TCUSIU330aD3kDi}}{{value}}{{/NZCDCHSASB__TCUSIU330aD3kDi}}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{{#NZCDCHSASB__TCUSIU330aD3kDii}}{{value}}{{/NZCDCHSASB__TCUSIU330aD3kDii}}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{{#NZCDCHSASB__TCUSIU330aD3kDiii}}{{value}}{{/NZCDCHSASB__TCUSIU330aD3kDiii}}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{{#NZCDCHSASB__TCUSIU330aD3kDv}}{{value}}{{/NZCDCHSASB__TCUSIU330aD3kDv}}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{{#NZCDCHSASB__TCUSIU330aD3kDiv}}{{value}}{{/NZCDCHSASB__TCUSIU330aD3kDiv}}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{{/NZCDCHSASB__TCUSIU330aD3k}}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{{#NZCDCHSASB__TCUSIU330aD3l}}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5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{{#NZCDCHSASB__TCUSIU330aD3lDi}}{{value}}{{/NZCDCHSASB__TCUSIU330aD3lDi}}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{{#NZCDCHSASB__TCUSIU330aD3lDii}}{{value}}{{/NZCDCHSASB__TCUSIU330aD3lDii}}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{{#NZCDCHSASB__TCUSIU330aD3lDiii}}{{value}}{{/NZCDCHSASB__TCUSIU330aD3lDiii}}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{{#NZCDCHSASB__TCUSIU330aD3lDv}}{{value}}{{/NZCDCHSASB__TCUSIU330aD3lDv}}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{{#NZCDCHSASB__TCUSIU330aD3lDiv}}{{value}}{{/NZCDCHSASB__TCUSIU330aD3lDiv}}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{{#NZCDCHSASB__TCUSIU330aD3m}}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{{#NZCDCHSASB__TCUSIU330aD3mDi}}{{value}}{{/NZCDCHSASB__TCUSIU330aD3mDi}}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{{#NZCDCHSASB__TCUSIU330aD3mDii}}{{value}}{{/NZCDCHSASB__TCUSIU330aD3mDii}}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{{#NZCDCHSASB__TCUSIU330aD3mDiii}}{{value}}{{/NZCDCHSASB__TCUSIU330aD3mDiii}}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{{#NZCDCHSASB__TCUSIU330aD3mDv}}{{value}}{{/NZCDCHSASB__TCUSIU330aD3mDv}}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{{#NZCDCHSASB__TCUSIU330aD3mDiv}}{{value}}{{/NZCDCHSASB__TCUSIU330aD3mDiv}}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{{/NZCDCHSASB__TCUSIU330aD3m}}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{{#NZCDCHSASB__TCUSIU330aD3n}}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{{#NZCDCHSASB__TCUSIU330aD3nDi}}{{value}}{{/NZCDCHSASB__TCUSIU330aD3nDi}}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{{#NZCDCHSASB__TCUSIU330aD3nDii}}{{value}}{{/NZCDCHSASB__TCUSIU330aD3nDii}}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{{#NZCDCHSASB__TCUSIU330aD3nDiii}}{{value}}{{/NZCDCHSASB__TCUSIU330aD3nDiii}}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{{#NZCDCHSASB__TCUSIU330aD3nDv}}{{value}}{{/NZCDCHSASB__TCUSIU330aD3nDv}}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{{#NZCDCHSASB__TCUSIU330aD3nDiv}}{{value}}{{/NZCDCHSASB__TCUSIU330aD3nDiv}}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{{/NZCDCHSASB__TCUSIU330aD3n}}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{{#NZCDCHSASB__TCUSIU330aD3o}}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{{#NZCDCHSASB__TCUSIU330aD3oDi}}{{value}}{{/NZCDCHSASB__TCUSIU330aD3oDi}}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{{#NZCDCHSASB__TCUSIU330aD3oDii}}{{value}}{{/NZCDCHSASB__TCUSIU330aD3oDii}}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{{#NZCDCHSASB__TCUSIU330aD3oDiii}}{{value}}{{/NZCDCHSASB__TCUSIU330aD3oDiii}}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{{#NZCDCHSASB__TCUSIU330aD3oDv}}{{value}}{{/NZCDCHSASB__TCUSIU330aD3oDv}}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{{#NZCDCHSASB__TCUSIU330aD3oDiv}}{{value}}{{/NZCDCHSASB__TCUSIU330aD3oDiv}}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{{/NZCDCHSASB__TCUSIU330aD3o}}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{{#NZCDCHSASB__TCUSIU330aD3p}}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{{#NZCDCHSASB__TCUSIU330aD3pDi}}{{value}}{{/NZCDCHSASB__TCUSIU330aD3pDi}}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{{#NZCDCHSASB__TCUSIU330aD3pDii}}{{value}}{{/NZCDCHSASB__TCUSIU330aD3pDii}}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{{#NZCDCHSASB__TCUSIU330aD3pDiii}}{{value}}{{/NZCDCHSASB__TCUSIU330aD3pDiii}}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{{#NZCDCHSASB__TCUSIU330aD3pDv}}{{value}}{{/NZCDCHSASB__TCUSIU330aD3pDv}}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{{#NZCDCHSASB__TCUSIU330aD3pDiv}}{{value}}{{/NZCDCHSASB__TCUSIU330aD3pDiv}}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{{/NZCDCHSASB__TCUSIU330aD3p}}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{{#NZCDCHSASB__TCUSIU330aD3q}}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{{#NZCDCHSASB__TCUSIU330aD3qDi}}{{value}}{{/NZCDCHSASB__TCUSIU330aD3qDi}}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{{#NZCDCHSASB__TCUSIU330aD3qDii}}{{value}}{{/NZCDCHSASB__TCUSIU330aD3qDii}}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{{#NZCDCHSASB__TCUSIU330aD3qDiii}}{{value}}{{/NZCDCHSASB__TCUSIU330aD3qDiii}}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{{#NZCDCHSASB__TCUSIU330aD3qDv}}{{value}}{{/NZCDCHSASB__TCUSIU330aD3qDv}}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{{#NZCDCHSASB__TCUSIU330aD3qDiv}}{{value}}{{/NZCDCHSASB__TCUSIU330aD3qDiv}}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{{/NZCDCHSASB__TCUSIU330aD3q}}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{{#NZCDCHSASB__TCUSIU330aD3r}}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{{#NZCDCHSASB__TCUSIU330aD3rDi}}{{value}}{{/NZCDCHSASB__TCUSIU330aD3rDi}}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{{#NZCDCHSASB__TCUSIU330aD3rDii}}{{value}}{{/NZCDCHSASB__TCUSIU330aD3rDii}}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{{#NZCDCHSASB__TCUSIU330aD3rDiii}}{{value}}{{/NZCDCHSASB__TCUSIU330aD3rDiii}}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{{#NZCDCHSASB__TCUSIU330aD3rDv}}{{value}}{{/NZCDCHSASB__TCUSIU330aD3rDv}}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{{#NZCDCHSASB__TCUSIU330aD3rDiv}}{{value}}{{/NZCDCHSASB__TCUSIU330aD3rDiv}}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{{/NZCDCHSASB__TCUSIU330aD3r}}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{{#NZCDCHSASB__TCUSIU330aD3s}}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{{#NZCDCHSASB__TCUSIU330aD3sDi}}{{value}}{{/NZCDCHSASB__TCUSIU330aD3sDi}}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{{#NZCDCHSASB__TCUSIU330aD3sDii}}{{value}}{{/NZCDCHSASB__TCUSIU330aD3sDii}}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{{#NZCDCHSASB__TCUSIU330aD3sDiii}}{{value}}{{/NZCDCHSASB__TCUSIU330aD3sDiii}}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{{#NZCDCHSASB__TCUSIU330aD3sDv}}{{value}}{{/NZCDCHSASB__TCUSIU330aD3sDv}}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{{#NZCDCHSASB__TCUSIU330aD3sDiv}}{{value}}{{/NZCDCHSASB__TCUSIU330aD3sDiv}}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{{/NZCDCHSASB__TCUSIU330aD3s}}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{{#NZCDCHSASB__TCUSIU330aD3t}}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{{#NZCDCHSASB__TCUSIU330aD3tDi}}{{value}}{{/NZCDCHSASB__TCUSIU330aD3tDi}}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{{#NZCDCHSASB__TCUSIU330aD3tDii}}{{value}}{{/NZCDCHSASB__TCUSIU330aD3tDii}}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{{#NZCDCHSASB__TCUSIU330aD3tDiii}}{{value}}{{/NZCDCHSASB__TCUSIU330aD3tDiii}}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{{#NZCDCHSASB__TCUSIU330aD3tDv}}{{value}}{{/NZCDCHSASB__TCUSIU330aD3tDv}}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{{#NZCDCHSASB__TCUSIU330aD3tDiv}}{{value}}{{/NZCDCHSASB__TCUSIU330aD3tDiv}}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{{/NZCDCHSASB__TCUSIU330aD3t}}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{{#NZCDCHSASB__TCUSIU330aD3u}}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{{#NZCDCHSASB__TCUSIU330aD3uDi}}{{value}}{{/NZCDCHSASB__TCUSIU330aD3uDi}}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{{#NZCDCHSASB__TCUSIU330aD3uDii}}{{value}}{{/NZCDCHSASB__TCUSIU330aD3uDii}}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{{#NZCDCHSASB__TCUSIU330aD3uDiii}}{{value}}{{/NZCDCHSASB__TCUSIU330aD3uDiii}}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{{#NZCDCHSASB__TCUSIU330aD3uDv}}{{value}}{{/NZCDCHSASB__TCUSIU330aD3uDv}}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{{#NZCDCHSASB__TCUSIU330aD3uDiv}}{{value}}{{/NZCDCHSASB__TCUSIU330aD3uDiv}}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{{/NZCDCHSASB__TCUSIU330aD3u}}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{{#NZCDCHSASB__TCUSIU330aD3v}}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6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{{#NZCDCHSASB__TCUSIU330aD3vDi}}{{value}}{{/NZCDCHSASB__TCUSIU330aD3vDi}}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{{#NZCDCHSASB__TCUSIU330aD3vDii}}{{value}}{{/NZCDCHSASB__TCUSIU330aD3vDii}}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{{#NZCDCHSASB__TCUSIU330aD3vDiii}}{{value}}{{/NZCDCHSASB__TCUSIU330aD3vDiii}}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{{#NZCDCHSASB__TCUSIU330aD3vDv}}{{value}}{{/NZCDCHSASB__TCUSIU330aD3vDv}}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{{#NZCDCHSASB__TCUSIU330aD3vDiv}}{{value}}{{/NZCDCHSASB__TCUSIU330aD3vDiv}}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{{/NZCDCHSASB__TCUSIU330aD3v}}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{{#NZCDCHSASB__TCUSIU330aD3w}}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{{#NZCDCHSASB__TCUSIU330aD3wDi}}{{value}}{{/NZCDCHSASB__TCUSIU330aD3wDi}}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{{#NZCDCHSASB__TCUSIU330aD3wDii}}{{value}}{{/NZCDCHSASB__TCUSIU330aD3wDii}}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{{#NZCDCHSASB__TCUSIU330aD3wDiii}}{{value}}{{/NZCDCHSASB__TCUSIU330aD3wDiii}}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{{#NZCDCHSASB__TCUSIU330aD3wDv}}{{value}}{{/NZCDCHSASB__TCUSIU330aD3wDv}}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{{#NZCDCHSASB__TCUSIU330aD3wDiv}}{{value}}{{/NZCDCHSASB__TCUSIU330aD3wDiv}}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{{/NZCDCHSASB__TCUSIU330aD3w}}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{{#NZCDCHSASB__TCUSIU330aD3x}}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{{#NZCDCHSASB__TCUSIU330aD3xDi}}{{value}}{{/NZCDCHSASB__TCUSIU330aD3xDi}}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{{#NZCDCHSASB__TCUSIU330aD3xDii}}{{value}}{{/NZCDCHSASB__TCUSIU330aD3xDii}}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{{#NZCDCHSASB__TCUSIU330aD3xDiii}}{{value}}{{/NZCDCHSASB__TCUSIU330aD3xDiii}}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{{#NZCDCHSASB__TCUSIU330aD3xDv}}{{value}}{{/NZCDCHSASB__TCUSIU330aD3xDv}}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{{#NZCDCHSASB__TCUSIU330aD3xDiv}}{{value}}{{/NZCDCHSASB__TCUSIU330aD3xDiv}}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{{/NZCDCHSASB__TCUSIU330aD3x}}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{{#NZCDCHSASB__TCUSIU330aD3y}}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{{#NZCDCHSASB__TCUSIU330aD3yDi}}{{value}}{{/NZCDCHSASB__TCUSIU330aD3yDi}}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{{#NZCDCHSASB__TCUSIU330aD3yDii}}{{value}}{{/NZCDCHSASB__TCUSIU330aD3yDii}}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{{#NZCDCHSASB__TCUSIU330aD3yDiii}}{{value}}{{/NZCDCHSASB__TCUSIU330aD3yDiii}}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{{#NZCDCHSASB__TCUSIU330aD3yDv}}{{value}}{{/NZCDCHSASB__TCUSIU330aD3yDv}}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{{#NZCDCHSASB__TCUSIU330aD3yDiv}}{{value}}{{/NZCDCHSASB__TCUSIU330aD3yDiv}}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{{/NZCDCHSASB__TCUSIU330aD3y}}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{{#NZCDCHSASB__TCUSIU330aD3z}}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{{#NZCDCHSASB__TCUSIU330aD3zDi}}{{value}}{{/NZCDCHSASB__TCUSIU330aD3zDi}}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{{#NZCDCHSASB__TCUSIU330aD3zDii}}{{value}}{{/NZCDCHSASB__TCUSIU330aD3zDii}}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{{#NZCDCHSASB__TCUSIU330aD3zDiii}}{{value}}{{/NZCDCHSASB__TCUSIU330aD3zDiii}}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{{#NZCDCHSASB__TCUSIU330aD3zDv}}{{value}}{{/NZCDCHSASB__TCUSIU330aD3zDv}}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{{#NZCDCHSASB__TCUSIU330aD3zDiv}}{{value}}{{/NZCDCHSASB__TCUSIU330aD3zDiv}}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{{/NZCDCHSASB__TCUSIU330aD3z}}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{{/value}}{{/Recruiting Managing a Global Diverse Skilled Workforce}}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{{#Intellectual Property Protection Competitive Behavior SI}}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1" w:name="_3rdcrjn" w:colFirst="0" w:colLast="0"/>
      <w:bookmarkEnd w:id="11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{{#NZCDCHSASB__TCUSIU520aD1a}}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Sub-type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Fine Amount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{{#NZCDCHSASB__TCUSIU520aD1aDi}}{{value}}{{/NZCDCHSASB__TCUSIU520aD1aDi}}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{{#NZCDCHSASB__TCUSIU520aD1aDii}}{{value}}{{/NZCDCHSASB__TCUSIU520aD1aDii}}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{{#NZCDCHSASB__TCUSIU520aD1aDiii}}{{value}}{{/NZCDCHSASB__TCUSIU520aD1aDiii}}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{{#NZCDCHSASB__TCUSIU520aD1aDiv}}{{value}}{{/NZCDCHSASB__TCUSIU520aD1aDiv}}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{{/NZCDCHSASB__TCUSIU520aD1a}}</w:t>
      </w:r>
    </w:p>
    <w:p>
      <w:pPr>
        <w:pStyle w:val="3"/>
        <w:jc w:val="left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{{#NZCDCHSASB__TCUSIU520aD1b}}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{{value}}{{/NZCDCHSASB__TCUSIU520aD1b}}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{{/value}}{{/Intellectual Property Protection Competitive Behavior SI}}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{{#Managing Systemic Risks from Technology Disruptions SI}}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2" w:name="_26in1rg" w:colFirst="0" w:colLast="0"/>
      <w:bookmarkEnd w:id="12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{{#NZCDCHSASB__TCUSIU550aD1a}}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{{value}}{{/NZCDCHSASB__TCUSIU550aD1a}}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{{#NZCDCHSASB__TCUSIU550aD1b}}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{{value}}{{/NZCDCHSASB__TCUSIU550aD1b}}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{{#NZCDCHSASB__TCUSIU550aD1c}}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{{value}}{{/NZCDCHSASB__TCUSIU550aD1c}}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{{#NZCDCHSASB__TCUSIU550aD1d}}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{{value}}{{/NZCDCHSASB__TCUSIU550aD1d}}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{{#NZCDCHSASB__TCUSIU550aD2a}}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{{value}}{{/NZCDCHSASB__TCUSIU550aD2a}}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{{/value}}{{/Managing Systemic Risks from Technology Disruptions SI}}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4"/>
          <w:szCs w:val="24"/>
          <w:u w:val="none"/>
        </w:rPr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bookmarkStart w:id="13" w:name="_lnxbz9" w:colFirst="0" w:colLast="0"/>
      <w:bookmarkEnd w:id="13"/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Telecommunication Services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{{#Environmental Footprint of Operations}}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4" w:name="_35nkun2" w:colFirst="0" w:colLast="0"/>
      <w:bookmarkEnd w:id="14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{{#NZCDCHSASB__TCUTLU130aD1a}}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{{value}}{{/NZCDCHSASB__TCUTLU130aD1a}}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{{#NZCDCHSASB__TCUTLU130aD1b}}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{{value}}{{/NZCDCHSASB__TCUTLU130aD1b}}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{{#NZCDCHSASB__TCUTLU130aD1c}}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{{value}}{{/NZCDCHSASB__TCUTLU130aD1c}}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{{/value}}{{/Environmental Footprint of Operations}}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{{#Data Privacy}}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5" w:name="_1ksv4uv" w:colFirst="0" w:colLast="0"/>
      <w:bookmarkEnd w:id="15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{{value}}{{/NZCDCHSASB__TCUTLU220aD2a}}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{{value}}{{/NZCDCHSASB__TCUTLU220aD3a}}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{{#NZCDCHSASB__TCUTLU220aD3b}}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{{value}}{{/NZCDCHSASB__TCUTLU220aD3b}}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{{value}}{{/NZCDCHSASB__TCUTLU220aD4a}}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{{value}}{{/NZCDCHSASB__TCUTLU220aD4b}}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{{#NZCDCHSASB__TCUTLU220aD4c}}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{{value}}{{/NZCDCHSASB__TCUTLU220aD4c}}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{{value}}{{/NZCDCHSASB__TCUTLU230aD1a}}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Percent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Diii}}{{value}}{{/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Div}}{{value}}{{/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NZCDCHSASB__TCUTLU230aD1b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ind w:lef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{{/NZCDCHSASB__TCUTLU230aD1b}}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{{value}}{{/NZCDCHSASB__TCUTLU230aD1c}}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{{value}}{{/NZCDCHSASB__TCUTLU230aD1d}}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{{#NZCDCHSASB__TCUTLU230aD2a}}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{{value}}{{/NZCDCHSASB__TCUTLU230aD2a}}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{{/value}}{{/Data Privacy}}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{{#Product End-of-life Management}}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6" w:name="_44sinio" w:colFirst="0" w:colLast="0"/>
      <w:bookmarkEnd w:id="16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{{#NZCDCHSASB__TCUTLU440aD1a}}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{{value}}{{/NZCDCHSASB__TCUTLU440aD1a}}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{{#NZCDCHSASB__TCUTLU440aD1b}}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{{value}}{{/NZCDCHSASB__TCUTLU440aD1b}}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{{#NZCDCHSASB__TCUTLU440aD1c}}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{{value}}{{/NZCDCHSASB__TCUTLU440aD1c}}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{{#NZCDCHSASB__TCUTLU440aD1d}}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{{value}}{{/NZCDCHSASB__TCUTLU440aD1d}}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{{/value}}{{/Product End-of-life Management}}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{{#Competitive Behavior Open Internet}}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7" w:name="_2jxsxqh" w:colFirst="0" w:colLast="0"/>
      <w:bookmarkEnd w:id="17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{{#NZCDCHSASB__TCUTLU520aD1a}}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Incident Sub-type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Fine Amount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{{#NZCDCHSASB__TCUTLU520aD1aDi}}{{value}}{{/NZCDCHSASB__TCUTLU520aD1aDi}}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{{#NZCDCHSASB__TCUTLU520aD1aDii}}{{value}}{{/NZCDCHSASB__TCUTLU520aD1aDii}}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{{#NZCDCHSASB__TCUTLU520aD1aDiii}}{{value}}{{/NZCDCHSASB__TCUTLU520aD1aDiii}}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{{#NZCDCHSASB__TCUTLU520aD1aDiv}}{{value}}{{/NZCDCHSASB__TCUTLU520aD1aDiv}}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{{/NZCDCHSASB__TCUTLU520aD1a}}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{{#NZCDCHSASB__TCUTLU520aD1b}}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{{value}}{{/NZCDCHSASB__TCUTLU520aD1b}}</w:t>
      </w:r>
    </w:p>
    <w:p>
      <w:pPr>
        <w:pStyle w:val="3"/>
        <w:ind w:lef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{{#NZCDCHSASB__TCUTLU520aD2a}}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{{value}}{{/NZCDCHSASB__TCUTLU520aD2a}}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{{#NZCDCHSASB__TCUTLU520aD2b}}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{{value}}{{/NZCDCHSASB__TCUTLU520aD2b}}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{{#NZCDCHSASB__TCUTLU520aD3a}}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{{value}}{{/NZCDCHSASB__TCUTLU520aD3a}}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{{/value}}{{/Competitive Behavior Open Internet}}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{{#Managing Systemic Risks from Technology Disruptions}}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18" w:name="_z337ya" w:colFirst="0" w:colLast="0"/>
      <w:bookmarkEnd w:id="18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{{#NZCDCHSASB__TCUTLU550aD1a}}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{{value}}{{/NZCDCHSASB__TCUTLU550aD1a}}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{{#NZCDCHSASB__TCUTLU550aD1b}}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{{value}}{{/NZCDCHSASB__TCUTLU550aD1b}}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{{#NZCDCHSASB__TCUTLU550aD1c}}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{{value}}{{/NZCDCHSASB__TCUTLU550aD1c}}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{{#NZCDCHSASB__TCUTLU550aD2a}}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{{value}}{{/NZCDCHSASB__TCUTLU550aD2a}}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{{/value}}{{/Managing Systemic Risks from Technology Disruptions}}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24"/>
          <w:szCs w:val="24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24"/>
          <w:szCs w:val="24"/>
          <w:u w:val="none"/>
        </w:rPr>
      </w:pPr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left="0" w:right="0" w:firstLine="0"/>
        <w:jc w:val="center"/>
        <w:rPr>
          <w:rFonts w:ascii="Noto Sans" w:hAnsi="Noto Sans" w:eastAsia="Noto Sans" w:cs="Noto Sans"/>
          <w:color w:val="014486"/>
          <w:sz w:val="34"/>
          <w:szCs w:val="34"/>
          <w:u w:val="none"/>
        </w:rPr>
      </w:pPr>
      <w:bookmarkStart w:id="19" w:name="_3j2qqm3" w:colFirst="0" w:colLast="0"/>
      <w:bookmarkEnd w:id="19"/>
      <w:r>
        <w:rPr>
          <w:rFonts w:ascii="Noto Sans" w:hAnsi="Noto Sans" w:eastAsia="Noto Sans" w:cs="Noto Sans"/>
          <w:color w:val="014486"/>
          <w:sz w:val="34"/>
          <w:szCs w:val="34"/>
          <w:u w:val="none"/>
          <w:rtl w:val="0"/>
        </w:rPr>
        <w:t>Hardware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{{#Product Security}}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20" w:name="_1y810tw" w:colFirst="0" w:colLast="0"/>
      <w:bookmarkEnd w:id="20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{{#NZCDCHSASB__TCUHWU230aD1a}}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{{value}}{{/NZCDCHSASB__TCUHWU230aD1a}}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{{/value}}{{/Product Security}}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{{#Employee Diversity Inclusion}}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21" w:name="_4i7ojhp" w:colFirst="0" w:colLast="0"/>
      <w:bookmarkEnd w:id="21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NZCDCHSASB__TCUHWU330aD1aDiv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{{#NZCDCHSASB__TCUHWU330aD1aa}}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{{#NZCDCHSASB__TCUHWU330aD1aaDi}}{{value}}{{/NZCDCHSASB__TCUHWU330aD1aaDi}}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{{#NZCDCHSASB__TCUHWU330aD1aaDii}}{{value}}{{/NZCDCHSASB__TCUHWU330aD1aaDii}}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{{#NZCDCHSASB__TCUHWU330aD1aaDiii}}{{value}}{{/NZCDCHSASB__TCUHWU330aD1aaDiii}}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{{#NZCDCHSASB__TCUHWU330aD1aaDv}}{{value}}{{/NZCDCHSASB__TCUHWU330aD1aaDv}}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{{#NZCDCHSASB__TCUHWU330aD1aaDiv}}{{value}}{{/NZCDCHSASB__TCUHWU330aD1aaDiv}}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{{/NZCDCHSASB__TCUHWU330aD1aa}}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7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NZCDCHSASB__TCUHWU330aD1bDiv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{{/NZCDCHSASB__TCUHWU330aD1b}}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{{#NZCDCHSASB__TCUHWU330aD1bb}}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{{value}}{{/NZCDCHSASB__TCUHWU330aD1bb}}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NZCDCHSASB__TCUHWU330aD1cDiv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{{/NZCDCHSASB__TCUHWU330aD1c}}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NZCDCHSASB__TCUHWU330aD1dDiv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{{/NZCDCHSASB__TCUHWU330aD1d}}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{{#NZCDCHSASB__TCUHWU330aD1e}}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NZCDCHSASB__TCUHWU330aD1eDiv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{{#NZCDCHSASB__TCUHWU330aD1f}}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NZCDCHSASB__TCUHWU330aD1fDiv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{{/NZCDCHSASB__TCUHWU330aD1f}}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{{#NZCDCHSASB__TCUHWU330aD1g}}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NZCDCHSASB__TCUHWU330aD1gDiv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{{/NZCDCHSASB__TCUHWU330aD1g}}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{{#NZCDCHSASB__TCUHWU330aD1h}}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NZCDCHSASB__TCUHWU330aD1hDiv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{{/NZCDCHSASB__TCUHWU330aD1h}}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{{#NZCDCHSASB__TCUHWU330aD1i}}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NZCDCHSASB__TCUHWU330aD1iDiii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}}{{value}}{{/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NZCDCHSASB__TCUHWU330aD1iDiv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{{/NZCDCHSASB__TCUHWU330aD1i}}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{{#NZCDCHSASB__TCUHWU330aD1j}}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{{#NZCDCHSASB__TCUHWU330aD1jDi}}{{value}}{{/NZCDCHSASB__TCUHWU330aD1jDi}}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{{#NZCDCHSASB__TCUHWU330aD1jDii}}{{value}}{{/NZCDCHSASB__TCUHWU330aD1jDii}}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{{#NZCDCHSASB__TCUHWU330aD1jDiii}}{{value}}{{/NZCDCHSASB__TCUHWU330aD1jDiii}}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{{#NZCDCHSASB__TCUHWU330aD1jDv}}{{value}}{{/NZCDCHSASB__TCUHWU330aD1jDv}}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{{#NZCDCHSASB__TCUHWU330aD1jDiv}}{{value}}{{/NZCDCHSASB__TCUHWU330aD1jDiv}}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{{/NZCDCHSASB__TCUHWU330aD1j}}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{{#NZCDCHSASB__TCUHWU330aD1k}}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{{#NZCDCHSASB__TCUHWU330aD1kDi}}{{value}}{{/NZCDCHSASB__TCUHWU330aD1kDi}}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{{#NZCDCHSASB__TCUHWU330aD1kDii}}{{value}}{{/NZCDCHSASB__TCUHWU330aD1kDii}}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{{#NZCDCHSASB__TCUHWU330aD1kDiii}}{{value}}{{/NZCDCHSASB__TCUHWU330aD1kDiii}}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{{#NZCDCHSASB__TCUHWU330aD1kDv}}{{value}}{{/NZCDCHSASB__TCUHWU330aD1kDv}}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{{#NZCDCHSASB__TCUHWU330aD1kDiv}}{{value}}{{/NZCDCHSASB__TCUHWU330aD1kDiv}}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{{/NZCDCHSASB__TCUHWU330aD1k}}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{{#NZCDCHSASB__TCUHWU330aD1l}}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8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{{#NZCDCHSASB__TCUHWU330aD1lDi}}{{value}}{{/NZCDCHSASB__TCUHWU330aD1lDi}}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{{#NZCDCHSASB__TCUHWU330aD1lDii}}{{value}}{{/NZCDCHSASB__TCUHWU330aD1lDii}}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{{#NZCDCHSASB__TCUHWU330aD1lDiii}}{{value}}{{/NZCDCHSASB__TCUHWU330aD1lDiii}}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{{#NZCDCHSASB__TCUHWU330aD1lDv}}{{value}}{{/NZCDCHSASB__TCUHWU330aD1lDv}}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{{#NZCDCHSASB__TCUHWU330aD1lDiv}}{{value}}{{/NZCDCHSASB__TCUHWU330aD1lDiv}}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{{/NZCDCHSASB__TCUHWU330aD1l}}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{{#NZCDCHSASB__TCUHWU330aD1m}}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{{#NZCDCHSASB__TCUHWU330aD1mDi}}{{value}}{{/NZCDCHSASB__TCUHWU330aD1mDi}}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{{#NZCDCHSASB__TCUHWU330aD1mDii}}{{value}}{{/NZCDCHSASB__TCUHWU330aD1mDii}}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{{#NZCDCHSASB__TCUHWU330aD1mDiii}}{{value}}{{/NZCDCHSASB__TCUHWU330aD1mDiii}}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{{#NZCDCHSASB__TCUHWU330aD1mDv}}{{value}}{{/NZCDCHSASB__TCUHWU330aD1mDv}}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{{#NZCDCHSASB__TCUHWU330aD1mDiv}}{{value}}{{/NZCDCHSASB__TCUHWU330aD1mDiv}}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{{/NZCDCHSASB__TCUHWU330aD1m}}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{{#NZCDCHSASB__TCUHWU330aD1n}}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{{#NZCDCHSASB__TCUHWU330aD1nDi}}{{value}}{{/NZCDCHSASB__TCUHWU330aD1nDi}}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{{#NZCDCHSASB__TCUHWU330aD1nDii}}{{value}}{{/NZCDCHSASB__TCUHWU330aD1nDii}}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{{#NZCDCHSASB__TCUHWU330aD1nDiii}}{{value}}{{/NZCDCHSASB__TCUHWU330aD1nDiii}}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{{#NZCDCHSASB__TCUHWU330aD1nDv}}{{value}}{{/NZCDCHSASB__TCUHWU330aD1nDv}}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{{#NZCDCHSASB__TCUHWU330aD1nDiv}}{{value}}{{/NZCDCHSASB__TCUHWU330aD1nDiv}}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{{/NZCDCHSASB__TCUHWU330aD1n}}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{{#NZCDCHSASB__TCUHWU330aD1o}}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{{#NZCDCHSASB__TCUHWU330aD1oDi}}{{value}}{{/NZCDCHSASB__TCUHWU330aD1oDi}}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{{#NZCDCHSASB__TCUHWU330aD1oDii}}{{value}}{{/NZCDCHSASB__TCUHWU330aD1oDii}}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{{#NZCDCHSASB__TCUHWU330aD1oDiii}}{{value}}{{/NZCDCHSASB__TCUHWU330aD1oDiii}}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{{#NZCDCHSASB__TCUHWU330aD1oDv}}{{value}}{{/NZCDCHSASB__TCUHWU330aD1oDv}}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{{#NZCDCHSASB__TCUHWU330aD1oDiv}}{{value}}{{/NZCDCHSASB__TCUHWU330aD1oDiv}}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{{/NZCDCHSASB__TCUHWU330aD1o}}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{{#NZCDCHSASB__TCUHWU330aD1p}}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{{#NZCDCHSASB__TCUHWU330aD1pDi}}{{value}}{{/NZCDCHSASB__TCUHWU330aD1pDi}}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{{#NZCDCHSASB__TCUHWU330aD1pDii}}{{value}}{{/NZCDCHSASB__TCUHWU330aD1pDii}}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{{#NZCDCHSASB__TCUHWU330aD1pDiii}}{{value}}{{/NZCDCHSASB__TCUHWU330aD1pDiii}}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{{#NZCDCHSASB__TCUHWU330aD1pDv}}{{value}}{{/NZCDCHSASB__TCUHWU330aD1pDv}}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{{#NZCDCHSASB__TCUHWU330aD1pDiv}}{{value}}{{/NZCDCHSASB__TCUHWU330aD1pDiv}}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{{/NZCDCHSASB__TCUHWU330aD1p}}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{{#NZCDCHSASB__TCUHWU330aD1q}}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{{#NZCDCHSASB__TCUHWU330aD1qDi}}{{value}}{{/NZCDCHSASB__TCUHWU330aD1qDi}}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{{#NZCDCHSASB__TCUHWU330aD1qDii}}{{value}}{{/NZCDCHSASB__TCUHWU330aD1qDii}}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{{#NZCDCHSASB__TCUHWU330aD1qDiii}}{{value}}{{/NZCDCHSASB__TCUHWU330aD1qDiii}}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{{#NZCDCHSASB__TCUHWU330aD1qDv}}{{value}}{{/NZCDCHSASB__TCUHWU330aD1qDv}}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{{#NZCDCHSASB__TCUHWU330aD1qDiv}}{{value}}{{/NZCDCHSASB__TCUHWU330aD1qDiv}}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{{/NZCDCHSASB__TCUHWU330aD1q}}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{{#NZCDCHSASB__TCUHWU330aD1r}}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{{#NZCDCHSASB__TCUHWU330aD1rDi}}{{value}}{{/NZCDCHSASB__TCUHWU330aD1rDi}}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{{#NZCDCHSASB__TCUHWU330aD1rDii}}{{value}}{{/NZCDCHSASB__TCUHWU330aD1rDii}}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{{#NZCDCHSASB__TCUHWU330aD1rDiii}}{{value}}{{/NZCDCHSASB__TCUHWU330aD1rDiii}}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{{#NZCDCHSASB__TCUHWU330aD1rDv}}{{value}}{{/NZCDCHSASB__TCUHWU330aD1rDv}}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{{#NZCDCHSASB__TCUHWU330aD1rDiv}}{{value}}{{/NZCDCHSASB__TCUHWU330aD1rDiv}}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{{/NZCDCHSASB__TCUHWU330aD1r}}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{{#NZCDCHSASB__TCUHWU330aD1s}}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{{#NZCDCHSASB__TCUHWU330aD1sDi}}{{value}}{{/NZCDCHSASB__TCUHWU330aD1sDi}}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{{#NZCDCHSASB__TCUHWU330aD1sDii}}{{value}}{{/NZCDCHSASB__TCUHWU330aD1sDii}}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{{#NZCDCHSASB__TCUHWU330aD1sDiii}}{{value}}{{/NZCDCHSASB__TCUHWU330aD1sDiii}}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{{#NZCDCHSASB__TCUHWU330aD1sDv}}{{value}}{{/NZCDCHSASB__TCUHWU330aD1sDv}}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{{#NZCDCHSASB__TCUHWU330aD1sDiv}}{{value}}{{/NZCDCHSASB__TCUHWU330aD1sDiv}}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{{/NZCDCHSASB__TCUHWU330aD1s}}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{{#NZCDCHSASB__TCUHWU330aD1t}}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{{#NZCDCHSASB__TCUHWU330aD1tDi}}{{value}}{{/NZCDCHSASB__TCUHWU330aD1tDi}}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{{#NZCDCHSASB__TCUHWU330aD1tDii}}{{value}}{{/NZCDCHSASB__TCUHWU330aD1tDii}}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{{#NZCDCHSASB__TCUHWU330aD1tDiii}}{{value}}{{/NZCDCHSASB__TCUHWU330aD1tDiii}}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{{#NZCDCHSASB__TCUHWU330aD1tDv}}{{value}}{{/NZCDCHSASB__TCUHWU330aD1tDv}}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{{#NZCDCHSASB__TCUHWU330aD1tDiv}}{{value}}{{/NZCDCHSASB__TCUHWU330aD1tDiv}}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{{/NZCDCHSASB__TCUHWU330aD1t}}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{{#NZCDCHSASB__TCUHWU330aD1u}}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{{#NZCDCHSASB__TCUHWU330aD1uDi}}{{value}}{{/NZCDCHSASB__TCUHWU330aD1uDi}}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{{#NZCDCHSASB__TCUHWU330aD1uDii}}{{value}}{{/NZCDCHSASB__TCUHWU330aD1uDii}}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{{#NZCDCHSASB__TCUHWU330aD1uDiii}}{{value}}{{/NZCDCHSASB__TCUHWU330aD1uDiii}}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{{#NZCDCHSASB__TCUHWU330aD1uDv}}{{value}}{{/NZCDCHSASB__TCUHWU330aD1uDv}}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{{#NZCDCHSASB__TCUHWU330aD1uDiv}}{{value}}{{/NZCDCHSASB__TCUHWU330aD1uDiv}}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{{/NZCDCHSASB__TCUHWU330aD1u}}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{{#NZCDCHSASB__TCUHWU330aD1v}}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9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{{#NZCDCHSASB__TCUHWU330aD1vDi}}{{value}}{{/NZCDCHSASB__TCUHWU330aD1vDi}}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{{#NZCDCHSASB__TCUHWU330aD1vDii}}{{value}}{{/NZCDCHSASB__TCUHWU330aD1vDii}}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{{#NZCDCHSASB__TCUHWU330aD1vDiii}}{{value}}{{/NZCDCHSASB__TCUHWU330aD1vDiii}}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{{#NZCDCHSASB__TCUHWU330aD1vDv}}{{value}}{{/NZCDCHSASB__TCUHWU330aD1vDv}}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{{#NZCDCHSASB__TCUHWU330aD1vDiv}}{{value}}{{/NZCDCHSASB__TCUHWU330aD1vDiv}}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{{/NZCDCHSASB__TCUHWU330aD1v}}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{{#NZCDCHSASB__TCUHWU330aD1w}}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0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{{#NZCDCHSASB__TCUHWU330aD1wDi}}{{value}}{{/NZCDCHSASB__TCUHWU330aD1wDi}}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{{#NZCDCHSASB__TCUHWU330aD1wDii}}{{value}}{{/NZCDCHSASB__TCUHWU330aD1wDii}}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{{#NZCDCHSASB__TCUHWU330aD1wDiii}}{{value}}{{/NZCDCHSASB__TCUHWU330aD1wDiii}}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{{#NZCDCHSASB__TCUHWU330aD1wDv}}{{value}}{{/NZCDCHSASB__TCUHWU330aD1wDv}}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{{#NZCDCHSASB__TCUHWU330aD1wDiv}}{{value}}{{/NZCDCHSASB__TCUHWU330aD1wDiv}}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{{/NZCDCHSASB__TCUHWU330aD1w}}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{{#NZCDCHSASB__TCUHWU330aD1x}}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0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{{#NZCDCHSASB__TCUHWU330aD1xDi}}{{value}}{{/NZCDCHSASB__TCUHWU330aD1xDi}}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{{#NZCDCHSASB__TCUHWU330aD1xDii}}{{value}}{{/NZCDCHSASB__TCUHWU330aD1xDii}}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{{#NZCDCHSASB__TCUHWU330aD1xDiii}}{{value}}{{/NZCDCHSASB__TCUHWU330aD1xDiii}}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{{#NZCDCHSASB__TCUHWU330aD1xDv}}{{value}}{{/NZCDCHSASB__TCUHWU330aD1xDv}}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{{#NZCDCHSASB__TCUHWU330aD1xDiv}}{{value}}{{/NZCDCHSASB__TCUHWU330aD1xDiv}}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{{/NZCDCHSASB__TCUHWU330aD1x}}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{{#NZCDCHSASB__TCUHWU330aD1y}}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0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{{#NZCDCHSASB__TCUHWU330aD1yDi}}{{value}}{{/NZCDCHSASB__TCUHWU330aD1yDi}}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{{#NZCDCHSASB__TCUHWU330aD1yDii}}{{value}}{{/NZCDCHSASB__TCUHWU330aD1yDii}}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{{#NZCDCHSASB__TCUHWU330aD1yDiii}}{{value}}{{/NZCDCHSASB__TCUHWU330aD1yDiii}}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{{#NZCDCHSASB__TCUHWU330aD1yDv}}{{value}}{{/NZCDCHSASB__TCUHWU330aD1yDv}}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{{#NZCDCHSASB__TCUHWU330aD1yDiv}}{{value}}{{/NZCDCHSASB__TCUHWU330aD1yDiv}}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{{/NZCDCHSASB__TCUHWU330aD1y}}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{{#NZCDCHSASB__TCUHWU330aD1z}}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10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</w:t>
            </w: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{{#NZCDCHSASB__TCUHWU330aD1zDi}}{{value}}{{/NZCDCHSASB__TCUHWU330aD1zDi}}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{{#NZCDCHSASB__TCUHWU330aD1zDii}}{{value}}{{/NZCDCHSASB__TCUHWU330aD1zDii}}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{{#NZCDCHSASB__TCUHWU330aD1zDiii}}{{value}}{{/NZCDCHSASB__TCUHWU330aD1zDiii}}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{{#NZCDCHSASB__TCUHWU330aD1zDv}}{{value}}{{/NZCDCHSASB__TCUHWU330aD1zDv}}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spacing w:line="276" w:lineRule="auto"/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sz w:val="18"/>
                <w:szCs w:val="18"/>
                <w:u w:val="none"/>
                <w:rtl w:val="0"/>
              </w:rPr>
              <w:t>{{#NZCDCHSASB__TCUHWU330aD1zDiv}}{{value}}{{/NZCDCHSASB__TCUHWU330aD1zDiv}}</w:t>
            </w:r>
            <w:r>
              <w:rPr>
                <w:rFonts w:ascii="Noto Sans" w:hAnsi="Noto Sans" w:eastAsia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{{/value}}</w:t>
            </w:r>
          </w:p>
        </w:tc>
      </w:tr>
    </w:tbl>
    <w:p>
      <w:pPr>
        <w:pStyle w:val="3"/>
        <w:spacing w:line="276" w:lineRule="auto"/>
        <w:rPr>
          <w:rFonts w:ascii="Noto Sans" w:hAnsi="Noto Sans" w:eastAsia="Noto Sans" w:cs="Noto Sans"/>
          <w:b w:val="0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sz w:val="18"/>
          <w:szCs w:val="18"/>
          <w:u w:val="none"/>
          <w:rtl w:val="0"/>
        </w:rPr>
        <w:t>{{/NZCDCHSASB__TCUHWU330aD1z}}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{{/value}}{{/Employee Diversity Inclusion}}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{{#Product Lifecycle Management}}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22" w:name="_2xcytpi" w:colFirst="0" w:colLast="0"/>
      <w:bookmarkEnd w:id="22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{{value}}{{/NZCDCHSASB__TCUHWU410aD1a}}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{{value}}{{/NZCDCHSASB__TCUHWU410aD1b}}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{{value}}{{/NZCDCHSASB__TCUHWU410aD2a}}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{{value}}{{/NZCDCHSASB__TCUHWU410aD2b}}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{{#NZCDCHSASB__TCUHWU410aD3a}}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{{value}}{{/NZCDCHSASB__TCUHWU410aD3a}}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{{#NZCDCHSASB__TCUHWU410aD4a}}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{{value}}{{/NZCDCHSASB__TCUHWU410aD4a}}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{{#NZCDCHSASB__TCUHWU410aD4b}}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{{value}}{{/NZCDCHSASB__TCUHWU410aD4b}}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{{/value}}{{/Product Lifecycle Management}}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{{#Supply Chain Management}}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23" w:name="_1ci93xb" w:colFirst="0" w:colLast="0"/>
      <w:bookmarkEnd w:id="23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{{#NZCDCHSASB__TCUHWU430aD1a}}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{{value}}{{/NZCDCHSASB__TCUHWU430aD1a}}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{{#NZCDCHSASB__TCUHWU430aD1b}}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{{value}}{{/NZCDCHSASB__TCUHWU430aD1b}}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{{#NZCDCHSASB__TCUHWU430aD2a}}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{{value}}{{/NZCDCHSASB__TCUHWU430aD2a}}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{{#NZCDCHSASB__TCUHWU430aD2b}}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{{value}}{{/NZCDCHSASB__TCUHWU430aD2b}}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{{#NZCDCHSASB__TCUHWU430aD2c}}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{{value}}{{/NZCDCHSASB__TCUHWU430aD2c}}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{{#NZCDCHSASB__TCUHWU430aD2d}}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firstLine="72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{{value}}{{/NZCDCHSASB__TCUHWU430aD2d}}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{{/value}}{{/Supply Chain Management}}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{{#Materials Sourcing}}</w:t>
      </w:r>
    </w:p>
    <w:p>
      <w:pPr>
        <w:pStyle w:val="5"/>
        <w:spacing w:before="0" w:after="0"/>
        <w:rPr>
          <w:rFonts w:ascii="Noto Sans" w:hAnsi="Noto Sans" w:eastAsia="Noto Sans" w:cs="Noto Sans"/>
          <w:b/>
          <w:color w:val="000000"/>
          <w:u w:val="none"/>
        </w:rPr>
      </w:pPr>
      <w:bookmarkStart w:id="24" w:name="_3whwml4" w:colFirst="0" w:colLast="0"/>
      <w:bookmarkEnd w:id="24"/>
      <w:r>
        <w:rPr>
          <w:rFonts w:ascii="Noto Sans" w:hAnsi="Noto Sans" w:eastAsia="Noto Sans" w:cs="Noto Sans"/>
          <w:b/>
          <w:color w:val="000000"/>
          <w:u w:val="none"/>
          <w:rtl w:val="0"/>
        </w:rPr>
        <w:t>{{label}}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{{#value}}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{{#NZCDCHSASB__TCUHWU440aD1a}}</w:t>
      </w:r>
      <w:r>
        <w:rPr>
          <w:rFonts w:ascii="Noto Sans Medium" w:hAnsi="Noto Sans Medium" w:eastAsia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>
      <w:pPr>
        <w:pStyle w:val="3"/>
        <w:ind w:left="720" w:firstLine="0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{{value}}{{/NZCDCHSASB__TCUHWU440aD1a}}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{{/value}}{{/Materials Sourcing}}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{{/SASB2023_</w:t>
      </w:r>
      <w:r>
        <w:rPr>
          <w:rFonts w:hint="default" w:ascii="Noto Sans" w:hAnsi="Noto Sans" w:eastAsia="Noto Sans"/>
          <w:b w:val="0"/>
          <w:color w:val="181818"/>
          <w:sz w:val="18"/>
          <w:szCs w:val="18"/>
          <w:u w:val="none"/>
          <w:rtl w:val="0"/>
        </w:rPr>
        <w:t>TECHCOMMSASB2023DF</w:t>
      </w:r>
      <w:bookmarkStart w:id="25" w:name="_GoBack"/>
      <w:bookmarkEnd w:id="25"/>
      <w:r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  <w:rtl w:val="0"/>
        </w:rPr>
        <w:t>_English}}</w:t>
      </w: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rPr>
          <w:rFonts w:ascii="Noto Sans" w:hAnsi="Noto Sans" w:eastAsia="Noto Sans" w:cs="Noto Sans"/>
          <w:b w:val="0"/>
          <w:color w:val="181818"/>
          <w:sz w:val="18"/>
          <w:szCs w:val="18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left"/>
        <w:rPr>
          <w:rFonts w:ascii="Noto Sans" w:hAnsi="Noto Sans" w:eastAsia="Noto Sans" w:cs="Noto Sans"/>
          <w:b w:val="0"/>
          <w:color w:val="181818"/>
          <w:sz w:val="24"/>
          <w:szCs w:val="24"/>
          <w:u w:val="none"/>
        </w:rPr>
      </w:pPr>
    </w:p>
    <w:sectPr>
      <w:headerReference r:id="rId8" w:type="first"/>
      <w:headerReference r:id="rId7" w:type="default"/>
      <w:footerReference r:id="rId9" w:type="default"/>
      <w:pgSz w:w="12240" w:h="15840"/>
      <w:pgMar w:top="1440" w:right="1440" w:bottom="1440" w:left="1440" w:header="720" w:footer="72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color w:val="666666"/>
        <w:sz w:val="20"/>
        <w:szCs w:val="20"/>
      </w:rPr>
    </w:pPr>
  </w:p>
  <w:p>
    <w:pPr>
      <w:pStyle w:val="3"/>
      <w:rPr>
        <w:color w:val="666666"/>
        <w:sz w:val="20"/>
        <w:szCs w:val="20"/>
      </w:rPr>
    </w:pPr>
    <w:r>
      <w:drawing>
        <wp:anchor distT="91440" distB="114300" distL="114300" distR="114300" simplePos="0" relativeHeight="251659264" behindDoc="0" locked="0" layoutInCell="1" allowOverlap="1">
          <wp:simplePos x="0" y="0"/>
          <wp:positionH relativeFrom="column">
            <wp:posOffset>4855210</wp:posOffset>
          </wp:positionH>
          <wp:positionV relativeFrom="paragraph">
            <wp:posOffset>151130</wp:posOffset>
          </wp:positionV>
          <wp:extent cx="1892935" cy="480060"/>
          <wp:effectExtent l="0" t="0" r="0" b="0"/>
          <wp:wrapSquare wrapText="bothSides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/>
                  <a:srcRect l="-1761" t="5516" r="-1760" b="5515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3"/>
      <w:widowControl w:val="0"/>
      <w:rPr>
        <w:b w:val="0"/>
        <w:u w:val="no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91440" distB="114300" distL="114300" distR="114300" simplePos="0" relativeHeight="251660288" behindDoc="0" locked="0" layoutInCell="1" allowOverlap="1">
          <wp:simplePos x="0" y="0"/>
          <wp:positionH relativeFrom="column">
            <wp:posOffset>4867275</wp:posOffset>
          </wp:positionH>
          <wp:positionV relativeFrom="paragraph">
            <wp:posOffset>-3175</wp:posOffset>
          </wp:positionV>
          <wp:extent cx="1790700" cy="504825"/>
          <wp:effectExtent l="0" t="0" r="0" b="0"/>
          <wp:wrapSquare wrapText="bothSides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/>
                </pic:nvPicPr>
                <pic:blipFill>
                  <a:blip r:embed="rId1"/>
                  <a:srcRect t="5516" r="2198"/>
                  <a:stretch>
                    <a:fillRect/>
                  </a:stretch>
                </pic:blipFill>
                <pic:spPr>
                  <a:xfrm>
                    <a:off x="0" y="0"/>
                    <a:ext cx="1790700" cy="5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_x0000_s2049" o:spid="_x0000_s2049" o:spt="75" type="#_x0000_t75" style="position:absolute;left:0pt;margin-left:-76.1pt;margin-top:-73.1pt;height:801pt;width:623.25pt;mso-position-horizontal-relative:margin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o:title="image4.png"/>
          <o:lock v:ext="edit" aspectratio="t"/>
        </v:shape>
      </w:pict>
    </w:r>
  </w:p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64"/>
        <w:szCs w:val="64"/>
      </w:rPr>
      <w:drawing>
        <wp:inline distT="114300" distB="114300" distL="114300" distR="114300">
          <wp:extent cx="1532255" cy="40449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0"/>
      <w:jc w:val="right"/>
      <w:rPr>
        <w:b w:val="0"/>
        <w:sz w:val="22"/>
        <w:szCs w:val="22"/>
        <w:u w:val="none"/>
      </w:rPr>
    </w:pPr>
    <w:r>
      <w:rPr>
        <w:b w:val="0"/>
        <w:sz w:val="22"/>
        <w:szCs w:val="22"/>
        <w:u w:val="none"/>
      </w:rPr>
      <w:fldChar w:fldCharType="begin"/>
    </w:r>
    <w:r>
      <w:rPr>
        <w:b w:val="0"/>
        <w:sz w:val="22"/>
        <w:szCs w:val="22"/>
        <w:u w:val="none"/>
      </w:rPr>
      <w:instrText xml:space="preserve">PAGE</w:instrText>
    </w:r>
    <w:r>
      <w:rPr>
        <w:b w:val="0"/>
        <w:sz w:val="22"/>
        <w:szCs w:val="22"/>
        <w:u w:val="none"/>
      </w:rPr>
      <w:fldChar w:fldCharType="separate"/>
    </w:r>
    <w:r>
      <w:rPr>
        <w:b w:val="0"/>
        <w:sz w:val="22"/>
        <w:szCs w:val="22"/>
        <w:u w:val="none"/>
      </w:rPr>
      <w:fldChar w:fldCharType="end"/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-170815</wp:posOffset>
          </wp:positionV>
          <wp:extent cx="1514475" cy="4000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inline distT="114300" distB="114300" distL="114300" distR="114300">
          <wp:extent cx="1568450" cy="41402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86361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2">
    <w:name w:val="heading 1"/>
    <w:basedOn w:val="3"/>
    <w:next w:val="3"/>
    <w:uiPriority w:val="0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uiPriority w:val="0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5">
    <w:name w:val="heading 3"/>
    <w:basedOn w:val="3"/>
    <w:next w:val="3"/>
    <w:uiPriority w:val="0"/>
    <w:pPr>
      <w:keepNext/>
      <w:keepLines/>
      <w:pageBreakBefore w:val="0"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uiPriority w:val="0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11">
    <w:name w:val="Subtitle"/>
    <w:basedOn w:val="3"/>
    <w:next w:val="3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3"/>
    <w:next w:val="3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uiPriority w:val="0"/>
  </w:style>
  <w:style w:type="table" w:customStyle="1" w:styleId="14">
    <w:name w:val="Table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Table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Table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Table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Table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Table1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Table1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Table1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Table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Table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Table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Table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Table1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Table1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Table1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Table2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Table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Table2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Table2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Table2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Table2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Table2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Table2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Table2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Table2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Table3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Table3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Table3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Table3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Table3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Table3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Table3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Table3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Table3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Table3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Table4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Table4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Table4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Table4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Table4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Table4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Table4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Table4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Table4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Table4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Table5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Table5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Table5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Table5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Table5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Table5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Table5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Table5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Table5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Table5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Table6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Table6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Table6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Table6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Table6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Table6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Table6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Table6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Table6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Table6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Table7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Table7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Table7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Table7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Table7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Table7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Table7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Table7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Table7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Table7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Table8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Table8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Table8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Table8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Table8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Table8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Table8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Table8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Table8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Table8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Table9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2023-06-23T09:01:28Z</dcterms:created>
  <dc:creator>admin</dc:creator>
  <cp:lastModifiedBy>admin</cp:lastModifiedBy>
  <dcterms:modified xsi:type="dcterms:W3CDTF">2023-06-23T09:02:48Z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1033-11.2.0.11213</vt:lpwstr>
  </property>
  <property fmtid="{D5CDD505-2E9C-101B-9397-08002B2CF9AE}" pid="3" name="ICV">
    <vt:lpwstr>453A0AC34FB2499D9697964B7E1DC457</vt:lpwstr>
  </property>
</Properties>
</file>