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ascii="Noto Sans" w:hAnsi="Noto Sans" w:eastAsia="Noto Sans" w:cs="Noto Sans"/>
          <w:b w:val="0"/>
          <w:sz w:val="26"/>
          <w:szCs w:val="26"/>
        </w:rPr>
      </w:pPr>
      <w:r>
        <w:rPr>
          <w:rFonts w:ascii="Noto Sans" w:hAnsi="Noto Sans" w:eastAsia="Noto Sans" w:cs="Noto Sans"/>
          <w:b w:val="0"/>
          <w:sz w:val="26"/>
          <w:szCs w:val="2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-956945</wp:posOffset>
            </wp:positionH>
            <wp:positionV relativeFrom="margin">
              <wp:posOffset>-1024255</wp:posOffset>
            </wp:positionV>
            <wp:extent cx="7934325" cy="10201275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10201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rFonts w:ascii="Noto Sans" w:hAnsi="Noto Sans" w:eastAsia="Noto Sans" w:cs="Noto Sans"/>
          <w:b w:val="0"/>
          <w:sz w:val="26"/>
          <w:szCs w:val="26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60"/>
          <w:szCs w:val="60"/>
          <w:u w:val="none"/>
        </w:rPr>
      </w:pPr>
      <w:r>
        <w:rPr>
          <w:rFonts w:ascii="Noto Sans" w:hAnsi="Noto Sans" w:eastAsia="Noto Sans" w:cs="Noto Sans"/>
          <w:b w:val="0"/>
          <w:color w:val="014486"/>
          <w:sz w:val="44"/>
          <w:szCs w:val="44"/>
          <w:u w:val="none"/>
          <w:rtl w:val="0"/>
        </w:rPr>
        <w:t>Financials</w:t>
      </w:r>
      <w:r>
        <w:rPr>
          <w:rFonts w:ascii="Noto Sans" w:hAnsi="Noto Sans" w:eastAsia="Noto Sans" w:cs="Noto Sans"/>
          <w:b w:val="0"/>
          <w:color w:val="014486"/>
          <w:sz w:val="23"/>
          <w:szCs w:val="23"/>
          <w:highlight w:val="white"/>
          <w:u w:val="none"/>
          <w:rtl w:val="0"/>
        </w:rPr>
        <w:t xml:space="preserve"> </w:t>
      </w:r>
      <w:r>
        <w:rPr>
          <w:rFonts w:ascii="Noto Sans" w:hAnsi="Noto Sans" w:eastAsia="Noto Sans" w:cs="Noto Sans"/>
          <w:b w:val="0"/>
          <w:color w:val="014486"/>
          <w:sz w:val="44"/>
          <w:szCs w:val="44"/>
          <w:u w:val="none"/>
          <w:rtl w:val="0"/>
        </w:rPr>
        <w:t>Sector</w:t>
      </w:r>
    </w:p>
    <w:p>
      <w:pPr>
        <w:pStyle w:val="3"/>
        <w:rPr>
          <w:rFonts w:ascii="Noto Sans" w:hAnsi="Noto Sans" w:eastAsia="Noto Sans" w:cs="Noto Sans"/>
          <w:b w:val="0"/>
          <w:color w:val="444444"/>
          <w:sz w:val="36"/>
          <w:szCs w:val="36"/>
          <w:u w:val="none"/>
        </w:rPr>
      </w:pPr>
      <w:r>
        <w:rPr>
          <w:rFonts w:ascii="Noto Sans" w:hAnsi="Noto Sans" w:eastAsia="Noto Sans" w:cs="Noto Sans"/>
          <w:b w:val="0"/>
          <w:color w:val="444444"/>
          <w:sz w:val="36"/>
          <w:szCs w:val="36"/>
          <w:u w:val="none"/>
          <w:rtl w:val="0"/>
        </w:rPr>
        <w:t>FY ESG Report</w:t>
      </w:r>
    </w:p>
    <w:p>
      <w:pPr>
        <w:pStyle w:val="3"/>
        <w:rPr>
          <w:rFonts w:ascii="Noto Sans" w:hAnsi="Noto Sans" w:eastAsia="Noto Sans" w:cs="Noto Sans"/>
          <w:b w:val="0"/>
          <w:color w:val="444444"/>
          <w:sz w:val="36"/>
          <w:szCs w:val="36"/>
        </w:rPr>
      </w:pPr>
    </w:p>
    <w:p>
      <w:pPr>
        <w:pStyle w:val="3"/>
        <w:rPr>
          <w:rFonts w:ascii="Noto Sans" w:hAnsi="Noto Sans" w:eastAsia="Noto Sans" w:cs="Noto Sans"/>
          <w:b w:val="0"/>
          <w:color w:val="444444"/>
          <w:sz w:val="24"/>
          <w:szCs w:val="24"/>
          <w:u w:val="none"/>
        </w:rPr>
      </w:pPr>
      <w:r>
        <w:rPr>
          <w:rFonts w:ascii="Noto Sans" w:hAnsi="Noto Sans" w:eastAsia="Noto Sans" w:cs="Noto Sans"/>
          <w:b w:val="0"/>
          <w:color w:val="444444"/>
          <w:sz w:val="24"/>
          <w:szCs w:val="24"/>
          <w:u w:val="none"/>
          <w:rtl w:val="0"/>
        </w:rPr>
        <w:t>SASB Standard Reporting Year</w:t>
      </w:r>
    </w:p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</w:t>
      </w:r>
      <w:r>
        <w:rPr>
          <w:rFonts w:ascii="Roboto" w:hAnsi="Roboto" w:eastAsia="Roboto" w:cs="Roboto"/>
          <w:b w:val="0"/>
          <w:color w:val="444746"/>
          <w:sz w:val="20"/>
          <w:szCs w:val="20"/>
          <w:u w:val="none"/>
          <w:rtl w:val="0"/>
        </w:rPr>
        <w:t>SASB2023_</w:t>
      </w:r>
      <w:r>
        <w:rPr>
          <w:rFonts w:hint="default" w:ascii="Roboto" w:hAnsi="Roboto" w:eastAsia="Roboto"/>
          <w:b w:val="0"/>
          <w:color w:val="444746"/>
          <w:sz w:val="20"/>
          <w:szCs w:val="20"/>
          <w:u w:val="none"/>
          <w:rtl w:val="0"/>
        </w:rPr>
        <w:t>FINCLSASB2023DF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_English}}{{#Preliminary Question}}{{#value}}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 xml:space="preserve">Start Date  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: 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{{#NZCDCHSASB__ReportingStartDate}}{{value}}{{/NZCDCHSASB__ReportingStartDate}}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End Date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   :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 xml:space="preserve"> {{#NZCDCHSASB__ReportingEndDate}}{{value}}{{/NZCDCHSASB__ReportingEndDate}}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{{/value}}{{/Preliminary Question}}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</w:t>
      </w:r>
    </w:p>
    <w:p>
      <w:pPr>
        <w:pStyle w:val="3"/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  <w:rtl w:val="0"/>
        </w:rPr>
        <w:t>Generated by Salesforce</w:t>
      </w:r>
    </w:p>
    <w:p>
      <w:pPr>
        <w:pStyle w:val="3"/>
        <w:rPr>
          <w:rFonts w:ascii="Noto Sans" w:hAnsi="Noto Sans" w:eastAsia="Noto Sans" w:cs="Noto Sans"/>
          <w:b w:val="0"/>
          <w:color w:val="666666"/>
          <w:sz w:val="14"/>
          <w:szCs w:val="1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2240" w:h="15840"/>
          <w:pgMar w:top="1440" w:right="1440" w:bottom="1440" w:left="1440" w:header="720" w:footer="720" w:gutter="0"/>
          <w:pgNumType w:start="0"/>
          <w:cols w:space="708" w:num="1"/>
          <w:titlePg/>
        </w:sectPr>
      </w:pPr>
      <w:r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  <w:rtl w:val="0"/>
        </w:rPr>
        <w:t>Disclosure and Compliance Hub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  <w:r>
        <w:rPr>
          <w:rFonts w:ascii="Noto Sans" w:hAnsi="Noto Sans" w:eastAsia="Noto Sans" w:cs="Noto Sans"/>
          <w:color w:val="014486"/>
          <w:sz w:val="36"/>
          <w:szCs w:val="36"/>
          <w:u w:val="none"/>
          <w:rtl w:val="0"/>
        </w:rPr>
        <w:t>Table of Contents</w:t>
      </w:r>
    </w:p>
    <w:p>
      <w:pPr>
        <w:pStyle w:val="3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</w:p>
    <w:sdt>
      <w:sdtPr>
        <w:id w:val="2099145379"/>
        <w:docPartObj>
          <w:docPartGallery w:val="Table of Contents"/>
          <w:docPartUnique/>
        </w:docPartObj>
      </w:sdtPr>
      <w:sdtContent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begin"/>
          </w:r>
          <w:r>
            <w:instrText xml:space="preserve"> HYPERLINK \l "_gjdgxs" \h </w:instrText>
          </w:r>
          <w:r>
            <w:fldChar w:fldCharType="separate"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Asset Management &amp; Custody Activities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"_30j0zll"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"_1fob9te"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"_3znysh7"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10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"_2et92p0"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10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"_tyjcwt" \h </w:instrText>
          </w:r>
          <w:r>
            <w:fldChar w:fldCharType="separate"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Commercial Banks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10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"_3dy6vkm"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11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"_1t3h5sf"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11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"_4d34og8"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11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"_2s8eyo1"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"_17dp8vu"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"_3rdcrjn" \h </w:instrText>
          </w:r>
          <w:r>
            <w:fldChar w:fldCharType="separate"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Consumer Finance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13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"_26in1rg"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13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"_lnxbz9"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13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"_35nkun2"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14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"_1ksv4uv" \h </w:instrText>
          </w:r>
          <w:r>
            <w:fldChar w:fldCharType="separate"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Insurance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15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"_44sinio"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15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"_2jxsxqh"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16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"_z337ya"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16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"_3j2qqm3"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16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"_1y810tw"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17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end"/>
          </w:r>
        </w:p>
      </w:sdtContent>
    </w:sdt>
    <w:p>
      <w:pPr>
        <w:pStyle w:val="3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2"/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400" w:after="120" w:line="240" w:lineRule="auto"/>
        <w:ind w:left="0" w:right="0" w:firstLine="0"/>
        <w:jc w:val="center"/>
        <w:rPr>
          <w:rFonts w:ascii="Noto Sans" w:hAnsi="Noto Sans" w:eastAsia="Noto Sans" w:cs="Noto Sans"/>
          <w:color w:val="014486"/>
          <w:sz w:val="34"/>
          <w:szCs w:val="34"/>
          <w:u w:val="none"/>
        </w:rPr>
      </w:pPr>
      <w:bookmarkStart w:id="0" w:name="_gjdgxs" w:colFirst="0" w:colLast="0"/>
      <w:bookmarkEnd w:id="0"/>
      <w:r>
        <w:rPr>
          <w:rFonts w:ascii="Noto Sans" w:hAnsi="Noto Sans" w:eastAsia="Noto Sans" w:cs="Noto Sans"/>
          <w:color w:val="014486"/>
          <w:sz w:val="34"/>
          <w:szCs w:val="34"/>
          <w:u w:val="none"/>
          <w:rtl w:val="0"/>
        </w:rPr>
        <w:t xml:space="preserve">       Asset Management &amp; Custody Activities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{{#Transparent Information Fair Advice for Customers}}</w:t>
      </w:r>
    </w:p>
    <w:p>
      <w:pPr>
        <w:pStyle w:val="5"/>
        <w:spacing w:after="0"/>
      </w:pPr>
      <w:bookmarkStart w:id="1" w:name="_30j0zll" w:colFirst="0" w:colLast="0"/>
      <w:bookmarkEnd w:id="1"/>
      <w:r>
        <w:rPr>
          <w:rtl w:val="0"/>
        </w:rPr>
        <w:t>{{label}}</w:t>
      </w: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before="0" w:after="0"/>
        <w:ind w:left="0" w:firstLine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{{#NZCDCHSASB__FNUACU270aD1a}}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before="0"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{{value}}{{/NZCDCHSASB__FNUACU270aD1a}}</w:t>
      </w: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{{#NZCDCHSASB__FNUACU270aD1b}}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before="0"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{{value}}{{/NZCDCHSASB__FNUACU270aD1b}}</w:t>
      </w: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{{#NZCDCHSASB__FNUACU270aD1c}}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before="0"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{{value}}{{/NZCDCHSASB__FNUACU270aD1c}}</w:t>
      </w: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{{#NZCDCHSASB__FNUACU270aD2a}}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before="0"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{{value}}{{/NZCDCHSASB__FNUACU270aD2a}}</w:t>
      </w: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{{#NZCDCHSASB__FNUACU270aD2b}}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before="0"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{{value}}{{/NZCDCHSASB__FNUACU270aD2b}}</w:t>
      </w: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before="0"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{{#NZCDCHSASB__FNUACU270aD3a}}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before="0"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{{value}}{{/NZCDCHSASB__FNUACU270aD3a}}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{{/Transparent Information Fair Advice for Customers}}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{{#Employee Diversity Inclusion}}</w:t>
      </w:r>
    </w:p>
    <w:p>
      <w:pPr>
        <w:pStyle w:val="5"/>
      </w:pPr>
      <w:bookmarkStart w:id="2" w:name="_1fob9te" w:colFirst="0" w:colLast="0"/>
      <w:bookmarkEnd w:id="2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{{#NZCDCHSASB__FNUACU330aD1aDi}}{{value}}{{/NZCDCHSASB__FNUACU330aD1aDi}}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{{#NZCDCHSASB__FNUACU330aD1aDii}}{{value}}{{/NZCDCHSASB__FNUACU330aD1aDii}}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{{#NZCDCHSASB__FNUACU330aD1aDiii}}{{value}}{{/NZCDCHSASB__FNUACU330aD1aDiii}}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{{#NZCDCHSASB__FNUACU330aD1aDiv}}{{value}}{{/NZCDCHSASB__FNUACU330aD1aDiv}}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{{#NZCDCHSASB__FNUACU330aD1aa}}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{{#NZCDCHSASB__FNUACU330aD1aaDi}}{{value}}{{/NZCDCHSASB__FNUACU330aD1aaDi}}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{{#NZCDCHSASB__FNUACU330aD1aaDii}}{{value}}{{/NZCDCHSASB__FNUACU330aD1aaDii}}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{{#NZCDCHSASB__FNUACU330aD1aaDiii}}{{value}}{{/NZCDCHSASB__FNUACU330aD1aaDiii}}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{{#NZCDCHSASB__FNUACU330aD1aaDiv}}{{value}}{{/NZCDCHSASB__FNUACU330aD1aaDiv}}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{{#NZCDCHSASB__FNUACU330aD1aaDv}}{{value}}{{/NZCDCHSASB__FNUACU330aD1aaDv}}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{{#NZCDCHSASB__FNUACU330aD1aaDvi}}{{value}}{{/NZCDCHSASB__FNUACU330aD1aaDvi}}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{{/NZCDCHSASB__FNUACU330aD1aa}}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{{#NZCDCHSASB__FNUACU330aD1bDi}}{{value}}{{/NZCDCHSASB__FNUACU330aD1bDi}}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{{#NZCDCHSASB__FNUACU330aD1bDii}}{{value}}{{/NZCDCHSASB__FNUACU330aD1bDii}}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{{#NZCDCHSASB__FNUACU330aD1bDiii}}{{value}}{{/NZCDCHSASB__FNUACU330aD1bDiii}}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{{#NZCDCHSASB__FNUACU330aD1bDiv}}{{value}}{{/NZCDCHSASB__FNUACU330aD1bDiv}}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{{#NZCDCHSASB__FNUACU330aD1bb}}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{{#NZCDCHSASB__FNUACU330aD1bbDi}}{{value}}{{/NZCDCHSASB__FNUACU330aD1bbDi}}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{{#NZCDCHSASB__FNUACU330aD1bbDii}}{{value}}{{/NZCDCHSASB__FNUACU330aD1bbDii}}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{{#NZCDCHSASB__FNUACU330aD1bbDiii}}{{value}}{{/NZCDCHSASB__FNUACU330aD1bbDiii}}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{{#NZCDCHSASB__FNUACU330aD1bbDiv}}{{value}}{{/NZCDCHSASB__FNUACU330aD1bbDiv}}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{{#NZCDCHSASB__FNUACU330aD1bbDv}}{{value}}{{/NZCDCHSASB__FNUACU330aD1bbDv}}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{{#NZCDCHSASB__FNUACU330aD1bbDvi}}{{value}}{{/NZCDCHSASB__FNUACU330aD1bbDvi}}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{{/NZCDCHSASB__FNUACU330aD1bb}}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{{#NZCDCHSASB__FNUACU330aD1cDi}}{{value}}{{/NZCDCHSASB__FNUACU330aD1cDi}}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{{#NZCDCHSASB__FNUACU330aD1cDii}}{{value}}{{/NZCDCHSASB__FNUACU330aD1cDii}}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{{#NZCDCHSASB__FNUACU330aD1cDiii}}{{value}}{{/NZCDCHSASB__FNUACU330aD1cDiii}}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{{#NZCDCHSASB__FNUACU330aD1cDiv}}{{value}}{{/NZCDCHSASB__FNUACU330aD1cDiv}}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{{#NZCDCHSASB__FNUACU330aD1cc}}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{{#NZCDCHSASB__FNUACU330aD1ccDi}}{{value}}{{/NZCDCHSASB__FNUACU330aD1ccDi}}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{{#NZCDCHSASB__FNUACU330aD1ccDii}}{{value}}{{/NZCDCHSASB__FNUACU330aD1ccDii}}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{{#NZCDCHSASB__FNUACU330aD1ccDiii}}{{value}}{{/NZCDCHSASB__FNUACU330aD1ccDiii}}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{{#NZCDCHSASB__FNUACU330aD1ccDiv}}{{value}}{{/NZCDCHSASB__FNUACU330aD1ccDiv}}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{{#NZCDCHSASB__FNUACU330aD1ccDv}}{{value}}{{/NZCDCHSASB__FNUACU330aD1ccDv}}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{{#NZCDCHSASB__FNUACU330aD1ccDvi}}{{value}}{{/NZCDCHSASB__FNUACU330aD1ccDvi}}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{{/NZCDCHSASB__FNUACU330aD1cc}}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{{#NZCDCHSASB__FNUACU330aD1dDi}}{{value}}{{/NZCDCHSASB__FNUACU330aD1dDi}}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{{#NZCDCHSASB__FNUACU330aD1dDii}}{{value}}{{/NZCDCHSASB__FNUACU330aD1dDii}}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{{#NZCDCHSASB__FNUACU330aD1dDiii}}{{value}}{{/NZCDCHSASB__FNUACU330aD1dDiii}}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{{#NZCDCHSASB__FNUACU330aD1dDiv}}{{value}}{{/NZCDCHSASB__FNUACU330aD1dDiv}}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{{/NZCDCHSASB__FNUACU330aD1d}}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{{#NZCDCHSASB__FNUACU330aD1dd}}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{{#NZCDCHSASB__FNUACU330aD1ddDi}}{{value}}{{/NZCDCHSASB__FNUACU330aD1ddDi}}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{{#NZCDCHSASB__FNUACU330aD1ddDii}}{{value}}{{/NZCDCHSASB__FNUACU330aD1ddDii}}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{{#NZCDCHSASB__FNUACU330aD1ddDiii}}{{value}}{{/NZCDCHSASB__FNUACU330aD1ddDiii}}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{{#NZCDCHSASB__FNUACU330aD1ddDiv}}{{value}}{{/NZCDCHSASB__FNUACU330aD1ddDiv}}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{{#NZCDCHSASB__FNUACU330aD1ddDv}}{{value}}{{/NZCDCHSASB__FNUACU330aD1ddDv}}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{{#NZCDCHSASB__FNUACU330aD1ddDvi}}{{value}}{{/NZCDCHSASB__FNUACU330aD1ddDvi}}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{{/NZCDCHSASB__FNUACU330aD1dd}}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{{#NZCDCHSASB__FNUACU330aD1e}}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{{#NZCDCHSASB__FNUACU330aD1eDi}}{{value}}{{/NZCDCHSASB__FNUACU330aD1eDi}}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{{#NZCDCHSASB__FNUACU330aD1eDii}}{{value}}{{/NZCDCHSASB__FNUACU330aD1eDii}}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{{#NZCDCHSASB__FNUACU330aD1eDiii}}{{value}}{{/NZCDCHSASB__FNUACU330aD1eDiii}}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{{#NZCDCHSASB__FNUACU330aD1eDiv}}{{value}}{{/NZCDCHSASB__FNUACU330aD1eDiv}}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{{#NZCDCHSASB__FNUACU330aD1ee}}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{{#NZCDCHSASB__FNUACU330aD1eeDi}}{{value}}{{/NZCDCHSASB__FNUACU330aD1eeDi}}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{{#NZCDCHSASB__FNUACU330aD1eeDii}}{{value}}{{/NZCDCHSASB__FNUACU330aD1eeDii}}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{{#NZCDCHSASB__FNUACU330aD1eeDiii}}{{value}}{{/NZCDCHSASB__FNUACU330aD1eeDiii}}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{{#NZCDCHSASB__FNUACU330aD1eeDiv}}{{value}}{{/NZCDCHSASB__FNUACU330aD1eeDiv}}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{{#NZCDCHSASB__FNUACU330aD1eeDv}}{{value}}{{/NZCDCHSASB__FNUACU330aD1eeDv}}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{{#NZCDCHSASB__FNUACU330aD1eeDvi}}{{value}}{{/NZCDCHSASB__FNUACU330aD1eeDvi}}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{{/NZCDCHSASB__FNUACU330aD1ee}}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{{#NZCDCHSASB__FNUACU330aD1f}}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{{#NZCDCHSASB__FNUACU330aD1fDi}}{{value}}{{/NZCDCHSASB__FNUACU330aD1fDi}}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{{#NZCDCHSASB__FNUACU330aD1fDii}}{{value}}{{/NZCDCHSASB__FNUACU330aD1fDii}}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{{#NZCDCHSASB__FNUACU330aD1fDiii}}{{value}}{{/NZCDCHSASB__FNUACU330aD1fDiii}}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{{#NZCDCHSASB__FNUACU330aD1fDiv}}{{value}}{{/NZCDCHSASB__FNUACU330aD1fDiv}}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{{/NZCDCHSASB__FNUACU330aD1f}}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{{#NZCDCHSASB__FNUACU330aD1ff}}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{{#NZCDCHSASB__FNUACU330aD1ffDi}}{{value}}{{/NZCDCHSASB__FNUACU330aD1ffDi}}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{{#NZCDCHSASB__FNUACU330aD1ffDii}}{{value}}{{/NZCDCHSASB__FNUACU330aD1ffDii}}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{{#NZCDCHSASB__FNUACU330aD1ffDiii}}{{value}}{{/NZCDCHSASB__FNUACU330aD1ffDiii}}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{{#NZCDCHSASB__FNUACU330aD1ffDiv}}{{value}}{{/NZCDCHSASB__FNUACU330aD1ffDiv}}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{{#NZCDCHSASB__FNUACU330aD1ffDv}}{{value}}{{/NZCDCHSASB__FNUACU330aD1ffDv}}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{{#NZCDCHSASB__FNUACU330aD1ffDvi}}{{value}}{{/NZCDCHSASB__FNUACU330aD1ffDvi}}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{{/NZCDCHSASB__FNUACU330aD1ff}}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{{#NZCDCHSASB__FNUACU330aD1g}}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{{#NZCDCHSASB__FNUACU330aD1gDi}}{{value}}{{/NZCDCHSASB__FNUACU330aD1gDi}}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{{#NZCDCHSASB__FNUACU330aD1gDii}}{{value}}{{/NZCDCHSASB__FNUACU330aD1gDii}}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{{#NZCDCHSASB__FNUACU330aD1gDiii}}{{value}}{{/NZCDCHSASB__FNUACU330aD1gDiii}}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{{#NZCDCHSASB__FNUACU330aD1gDiv}}{{value}}{{/NZCDCHSASB__FNUACU330aD1gDiv}}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{{/NZCDCHSASB__FNUACU330aD1g}}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{{#NZCDCHSASB__FNUACU330aD1gg}}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{{#NZCDCHSASB__FNUACU330aD1ggDi}}{{value}}{{/NZCDCHSASB__FNUACU330aD1ggDi}}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{{#NZCDCHSASB__FNUACU330aD1ggDii}}{{value}}{{/NZCDCHSASB__FNUACU330aD1ggDii}}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{{#NZCDCHSASB__FNUACU330aD1ggDiii}}{{value}}{{/NZCDCHSASB__FNUACU330aD1ggDiii}}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{{#NZCDCHSASB__FNUACU330aD1ggDiv}}{{value}}{{/NZCDCHSASB__FNUACU330aD1ggDiv}}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{{#NZCDCHSASB__FNUACU330aD1ggDv}}{{value}}{{/NZCDCHSASB__FNUACU330aD1ggDv}}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{{#NZCDCHSASB__FNUACU330aD1ggDvi}}{{value}}{{/NZCDCHSASB__FNUACU330aD1ggDvi}}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{{/NZCDCHSASB__FNUACU330aD1gg}}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{{#NZCDCHSASB__FNUACU330aD1h}}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{{#NZCDCHSASB__FNUACU330aD1hDi}}{{value}}{{/NZCDCHSASB__FNUACU330aD1hDi}}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{{#NZCDCHSASB__FNUACU330aD1hDii}}{{value}}{{/NZCDCHSASB__FNUACU330aD1hDii}}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{{#NZCDCHSASB__FNUACU330aD1hDiii}}{{value}}{{/NZCDCHSASB__FNUACU330aD1hDiii}}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{{#NZCDCHSASB__FNUACU330aD1hDiv}}{{value}}{{/NZCDCHSASB__FNUACU330aD1hDiv}}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{{/NZCDCHSASB__FNUACU330aD1h}}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{{#NZCDCHSASB__FNUACU330aD1hh}}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{{#NZCDCHSASB__FNUACU330aD1hhDi}}{{value}}{{/NZCDCHSASB__FNUACU330aD1hhDi}}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{{#NZCDCHSASB__FNUACU330aD1hhDii}}{{value}}{{/NZCDCHSASB__FNUACU330aD1hhDii}}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{{#NZCDCHSASB__FNUACU330aD1hhDiii}}{{value}}{{/NZCDCHSASB__FNUACU330aD1hhDiii}}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{{#NZCDCHSASB__FNUACU330aD1hhDiv}}{{value}}{{/NZCDCHSASB__FNUACU330aD1hhDiv}}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{{#NZCDCHSASB__FNUACU330aD1hhDv}}{{value}}{{/NZCDCHSASB__FNUACU330aD1hhDv}}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{{#NZCDCHSASB__FNUACU330aD1hhDvi}}{{value}}{{/NZCDCHSASB__FNUACU330aD1hhDvi}}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{{/NZCDCHSASB__FNUACU330aD1hh}}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{{#NZCDCHSASB__FNUACU330aD1i}}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{{#NZCDCHSASB__FNUACU330aD1iDi}}{{value}}{{/NZCDCHSASB__FNUACU330aD1iDi}}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{{#NZCDCHSASB__FNUACU330aD1iDii}}{{value}}{{/NZCDCHSASB__FNUACU330aD1iDii}}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{{#NZCDCHSASB__FNUACU330aD1iDiii}}{{value}}{{/NZCDCHSASB__FNUACU330aD1iDiii}}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{{#NZCDCHSASB__FNUACU330aD1iDiv}}{{value}}{{/NZCDCHSASB__FNUACU330aD1iDiv}}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{{/NZCDCHSASB__FNUACU330aD1i}}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{{#NZCDCHSASB__FNUACU330aD1ii}}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{{#NZCDCHSASB__FNUACU330aD1iiDi}}{{value}}{{/NZCDCHSASB__FNUACU330aD1iiDi}}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{{#NZCDCHSASB__FNUACU330aD1iiDii}}{{value}}{{/NZCDCHSASB__FNUACU330aD1iiDii}}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{{#NZCDCHSASB__FNUACU330aD1iiDiii}}{{value}}{{/NZCDCHSASB__FNUACU330aD1iiDiii}}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{{#NZCDCHSASB__FNUACU330aD1iiDiv}}{{value}}{{/NZCDCHSASB__FNUACU330aD1iiDiv}}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{{#NZCDCHSASB__FNUACU330aD1iiDv}}{{value}}{{/NZCDCHSASB__FNUACU330aD1iiDv}}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{{#NZCDCHSASB__FNUACU330aD1iiDvi}}{{value}}{{/NZCDCHSASB__FNUACU330aD1iiDvi}}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{{/NZCDCHSASB__FNUACU330aD1ii}}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{{#NZCDCHSASB__FNUACU330aD1j}}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{{#NZCDCHSASB__FNUACU330aD1jDi}}{{value}}{{/NZCDCHSASB__FNUACU330aD1jDi}}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{{#NZCDCHSASB__FNUACU330aD1jDii}}{{value}}{{/NZCDCHSASB__FNUACU330aD1jDii}}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{{#NZCDCHSASB__FNUACU330aD1jDiii}}{{value}}{{/NZCDCHSASB__FNUACU330aD1jDiii}}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{{#NZCDCHSASB__FNUACU330aD1jDiv}}{{value}}{{/NZCDCHSASB__FNUACU330aD1jDiv}}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{{/NZCDCHSASB__FNUACU330aD1j}}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{{#NZCDCHSASB__FNUACU330aD1jj}}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{{#NZCDCHSASB__FNUACU330aD1jjDi}}{{value}}{{/NZCDCHSASB__FNUACU330aD1jjDi}}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{{#NZCDCHSASB__FNUACU330aD1jjDii}}{{value}}{{/NZCDCHSASB__FNUACU330aD1jjDii}}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{{#NZCDCHSASB__FNUACU330aD1jjDiii}}{{value}}{{/NZCDCHSASB__FNUACU330aD1jjDiii}}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{{#NZCDCHSASB__FNUACU330aD1jjDiv}}{{value}}{{/NZCDCHSASB__FNUACU330aD1jjDiv}}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{{#NZCDCHSASB__FNUACU330aD1jjDv}}{{value}}{{/NZCDCHSASB__FNUACU330aD1jjDv}}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{{#NZCDCHSASB__FNUACU330aD1jjDvi}}{{value}}{{/NZCDCHSASB__FNUACU330aD1jjDvi}}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{{/NZCDCHSASB__FNUACU330aD1jj}}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{{#NZCDCHSASB__FNUACU330aD1k}}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{{#NZCDCHSASB__FNUACU330aD1kDi}}{{value}}{{/NZCDCHSASB__FNUACU330aD1kDi}}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{{#NZCDCHSASB__FNUACU330aD1kDii}}{{value}}{{/NZCDCHSASB__FNUACU330aD1kDii}}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{{#NZCDCHSASB__FNUACU330aD1kDiii}}{{value}}{{/NZCDCHSASB__FNUACU330aD1kDiii}}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{{#NZCDCHSASB__FNUACU330aD1kDiv}}{{value}}{{/NZCDCHSASB__FNUACU330aD1kDiv}}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{{/NZCDCHSASB__FNUACU330aD1k}}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{{#NZCDCHSASB__FNUACU330aD1kk}}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{{value}}{{/NZCDCHSASB__FNUACU330aD1kk}}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{{#NZCDCHSASB__FNUACU330aD1l}}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{{#NZCDCHSASB__FNUACU330aD1lDi}}{{value}}{{/NZCDCHSASB__FNUACU330aD1lDi}}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{{#NZCDCHSASB__FNUACU330aD1lDii}}{{value}}{{/NZCDCHSASB__FNUACU330aD1lDii}}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{{#NZCDCHSASB__FNUACU330aD1lDiii}}{{value}}{{/NZCDCHSASB__FNUACU330aD1lDiii}}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{{#NZCDCHSASB__FNUACU330aD1lDiv}}{{value}}{{/NZCDCHSASB__FNUACU330aD1lDiv}}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{{#NZCDCHSASB__FNUACU330aD1m}}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{{#NZCDCHSASB__FNUACU330aD1mDi}}{{value}}{{/NZCDCHSASB__FNUACU330aD1mDi}}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{{#NZCDCHSASB__FNUACU330aD1mDii}}{{value}}{{/NZCDCHSASB__FNUACU330aD1mDii}}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{{#NZCDCHSASB__FNUACU330aD1mDiii}}{{value}}{{/NZCDCHSASB__FNUACU330aD1mDiii}}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{{#NZCDCHSASB__FNUACU330aD1mDiv}}{{value}}{{/NZCDCHSASB__FNUACU330aD1mDiv}}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{{#NZCDCHSASB__FNUACU330aD1mDv}}{{value}}{{/NZCDCHSASB__FNUACU330aD1mDv}}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{{#NZCDCHSASB__FNUACU330aD1mDvi}}{{value}}{{/NZCDCHSASB__FNUACU330aD1mDvi}}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{{/NZCDCHSASB__FNUACU330aD1m}}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{{#NZCDCHSASB__FNUACU330aD1n}}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{{#NZCDCHSASB__FNUACU330aD1nDi}}{{value}}{{/NZCDCHSASB__FNUACU330aD1nDi}}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{{#NZCDCHSASB__FNUACU330aD1nDii}}{{value}}{{/NZCDCHSASB__FNUACU330aD1nDii}}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{{#NZCDCHSASB__FNUACU330aD1nDiii}}{{value}}{{/NZCDCHSASB__FNUACU330aD1nDiii}}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{{#NZCDCHSASB__FNUACU330aD1nDiv}}{{value}}{{/NZCDCHSASB__FNUACU330aD1nDiv}}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{{#NZCDCHSASB__FNUACU330aD1nDv}}{{value}}{{/NZCDCHSASB__FNUACU330aD1nDv}}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{{#NZCDCHSASB__FNUACU330aD1nDvi}}{{value}}{{/NZCDCHSASB__FNUACU330aD1nDvi}}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{{/NZCDCHSASB__FNUACU330aD1n}}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{{#NZCDCHSASB__FNUACU330aD1o}}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{{#NZCDCHSASB__FNUACU330aD1oDi}}{{value}}{{/NZCDCHSASB__FNUACU330aD1oDi}}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{{#NZCDCHSASB__FNUACU330aD1oDii}}{{value}}{{/NZCDCHSASB__FNUACU330aD1oDii}}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{{#NZCDCHSASB__FNUACU330aD1oDiii}}{{value}}{{/NZCDCHSASB__FNUACU330aD1oDiii}}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{{#NZCDCHSASB__FNUACU330aD1oDiv}}{{value}}{{/NZCDCHSASB__FNUACU330aD1oDiv}}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{{#NZCDCHSASB__FNUACU330aD1oDv}}{{value}}{{/NZCDCHSASB__FNUACU330aD1oDv}}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{{#NZCDCHSASB__FNUACU330aD1oDvi}}{{value}}{{/NZCDCHSASB__FNUACU330aD1oDvi}}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{{/NZCDCHSASB__FNUACU330aD1o}}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{{#NZCDCHSASB__FNUACU330aD1p}}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{{#NZCDCHSASB__FNUACU330aD1pDi}}{{value}}{{/NZCDCHSASB__FNUACU330aD1pDi}}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{{#NZCDCHSASB__FNUACU330aD1pDii}}{{value}}{{/NZCDCHSASB__FNUACU330aD1pDii}}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{{#NZCDCHSASB__FNUACU330aD1pDiii}}{{value}}{{/NZCDCHSASB__FNUACU330aD1pDiii}}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{{#NZCDCHSASB__FNUACU330aD1pDiv}}{{value}}{{/NZCDCHSASB__FNUACU330aD1pDiv}}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{{#NZCDCHSASB__FNUACU330aD1pDv}}{{value}}{{/NZCDCHSASB__FNUACU330aD1pDv}}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{{#NZCDCHSASB__FNUACU330aD1pDvi}}{{value}}{{/NZCDCHSASB__FNUACU330aD1pDvi}}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{{/NZCDCHSASB__FNUACU330aD1p}}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{{#NZCDCHSASB__FNUACU330aD1q}}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{{#NZCDCHSASB__FNUACU330aD1qDi}}{{value}}{{/NZCDCHSASB__FNUACU330aD1qDi}}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{{#NZCDCHSASB__FNUACU330aD1qDii}}{{value}}{{/NZCDCHSASB__FNUACU330aD1qDii}}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{{#NZCDCHSASB__FNUACU330aD1qDiii}}{{value}}{{/NZCDCHSASB__FNUACU330aD1qDiii}}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{{#NZCDCHSASB__FNUACU330aD1qDiv}}{{value}}{{/NZCDCHSASB__FNUACU330aD1qDiv}}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{{#NZCDCHSASB__FNUACU330aD1qDv}}{{value}}{{/NZCDCHSASB__FNUACU330aD1qDv}}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{{#NZCDCHSASB__FNUACU330aD1qDvi}}{{value}}{{/NZCDCHSASB__FNUACU330aD1qDvi}}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{{/NZCDCHSASB__FNUACU330aD1q}}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{{#NZCDCHSASB__FNUACU330aD1r}}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{{#NZCDCHSASB__FNUACU330aD1rDi}}{{value}}{{/NZCDCHSASB__FNUACU330aD1rDi}}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{{#NZCDCHSASB__FNUACU330aD1rDii}}{{value}}{{/NZCDCHSASB__FNUACU330aD1rDii}}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{{#NZCDCHSASB__FNUACU330aD1rDiii}}{{value}}{{/NZCDCHSASB__FNUACU330aD1rDiii}}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{{#NZCDCHSASB__FNUACU330aD1rDiv}}{{value}}{{/NZCDCHSASB__FNUACU330aD1rDiv}}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{{#NZCDCHSASB__FNUACU330aD1rDv}}{{value}}{{/NZCDCHSASB__FNUACU330aD1rDv}}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{{#NZCDCHSASB__FNUACU330aD1rDvi}}{{value}}{{/NZCDCHSASB__FNUACU330aD1rDvi}}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{{/NZCDCHSASB__FNUACU330aD1r}}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{{#NZCDCHSASB__FNUACU330aD1s}}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{{#NZCDCHSASB__FNUACU330aD1sDi}}{{value}}{{/NZCDCHSASB__FNUACU330aD1sDi}}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{{#NZCDCHSASB__FNUACU330aD1sDii}}{{value}}{{/NZCDCHSASB__FNUACU330aD1sDii}}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{{#NZCDCHSASB__FNUACU330aD1sDiii}}{{value}}{{/NZCDCHSASB__FNUACU330aD1sDiii}}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{{#NZCDCHSASB__FNUACU330aD1sDiv}}{{value}}{{/NZCDCHSASB__FNUACU330aD1sDiv}}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{{#NZCDCHSASB__FNUACU330aD1sDv}}{{value}}{{/NZCDCHSASB__FNUACU330aD1sDv}}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{{#NZCDCHSASB__FNUACU330aD1sDvi}}{{value}}{{/NZCDCHSASB__FNUACU330aD1sDvi}}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{{/NZCDCHSASB__FNUACU330aD1s}}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{{#NZCDCHSASB__FNUACU330aD1t}}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{{#NZCDCHSASB__FNUACU330aD1tDi}}{{value}}{{/NZCDCHSASB__FNUACU330aD1tDi}}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{{#NZCDCHSASB__FNUACU330aD1tDii}}{{value}}{{/NZCDCHSASB__FNUACU330aD1tDii}}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{{#NZCDCHSASB__FNUACU330aD1tDiii}}{{value}}{{/NZCDCHSASB__FNUACU330aD1tDiii}}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{{#NZCDCHSASB__FNUACU330aD1tDiv}}{{value}}{{/NZCDCHSASB__FNUACU330aD1tDiv}}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{{#NZCDCHSASB__FNUACU330aD1tDv}}{{value}}{{/NZCDCHSASB__FNUACU330aD1tDv}}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{{#NZCDCHSASB__FNUACU330aD1tDvi}}{{value}}{{/NZCDCHSASB__FNUACU330aD1tDvi}}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{{/NZCDCHSASB__FNUACU330aD1t}}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{{#NZCDCHSASB__FNUACU330aD1u}}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{{#NZCDCHSASB__FNUACU330aD1uDi}}{{value}}{{/NZCDCHSASB__FNUACU330aD1uDi}}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{{#NZCDCHSASB__FNUACU330aD1uDii}}{{value}}{{/NZCDCHSASB__FNUACU330aD1uDii}}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{{#NZCDCHSASB__FNUACU330aD1uDiii}}{{value}}{{/NZCDCHSASB__FNUACU330aD1uDiii}}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{{#NZCDCHSASB__FNUACU330aD1uDiv}}{{value}}{{/NZCDCHSASB__FNUACU330aD1uDiv}}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{{#NZCDCHSASB__FNUACU330aD1uDv}}{{value}}{{/NZCDCHSASB__FNUACU330aD1uDv}}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{{#NZCDCHSASB__FNUACU330aD1uDvi}}{{value}}{{/NZCDCHSASB__FNUACU330aD1uDvi}}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{{/NZCDCHSASB__FNUACU330aD1u}}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{{#NZCDCHSASB__FNUACU330aD1v}}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{{#NZCDCHSASB__FNUACU330aD1vDi}}{{value}}{{/NZCDCHSASB__FNUACU330aD1vDi}}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{{#NZCDCHSASB__FNUACU330aD1vDii}}{{value}}{{/NZCDCHSASB__FNUACU330aD1vDii}}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{{#NZCDCHSASB__FNUACU330aD1vDiii}}{{value}}{{/NZCDCHSASB__FNUACU330aD1vDiii}}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{{#NZCDCHSASB__FNUACU330aD1vDiv}}{{value}}{{/NZCDCHSASB__FNUACU330aD1vDiv}}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{{#NZCDCHSASB__FNUACU330aD1vDv}}{{value}}{{/NZCDCHSASB__FNUACU330aD1vDv}}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{{#NZCDCHSASB__FNUACU330aD1vDvi}}{{value}}{{/NZCDCHSASB__FNUACU330aD1vDvi}}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{{/NZCDCHSASB__FNUACU330aD1v}}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{{#NZCDCHSASB__FNUACU330aD1w}}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{{#NZCDCHSASB__FNUACU330aD1wDi}}{{value}}{{/NZCDCHSASB__FNUACU330aD1wDi}}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{{#NZCDCHSASB__FNUACU330aD1wDii}}{{value}}{{/NZCDCHSASB__FNUACU330aD1wDii}}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{{#NZCDCHSASB__FNUACU330aD1wDiii}}{{value}}{{/NZCDCHSASB__FNUACU330aD1wDiii}}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{{#NZCDCHSASB__FNUACU330aD1wDiv}}{{value}}{{/NZCDCHSASB__FNUACU330aD1wDiv}}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{{#NZCDCHSASB__FNUACU330aD1wDv}}{{value}}{{/NZCDCHSASB__FNUACU330aD1wDv}}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{{#NZCDCHSASB__FNUACU330aD1wDvi}}{{value}}{{/NZCDCHSASB__FNUACU330aD1wDvi}}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{{/NZCDCHSASB__FNUACU330aD1w}}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{{#NZCDCHSASB__FNUACU330aD1x}}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{{#NZCDCHSASB__FNUACU330aD1xDi}}{{value}}{{/NZCDCHSASB__FNUACU330aD1xDi}}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{{#NZCDCHSASB__FNUACU330aD1xDii}}{{value}}{{/NZCDCHSASB__FNUACU330aD1xDii}}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{{#NZCDCHSASB__FNUACU330aD1xDiii}}{{value}}{{/NZCDCHSASB__FNUACU330aD1xDiii}}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{{#NZCDCHSASB__FNUACU330aD1xDiv}}{{value}}{{/NZCDCHSASB__FNUACU330aD1xDiv}}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{{#NZCDCHSASB__FNUACU330aD1xDv}}{{value}}{{/NZCDCHSASB__FNUACU330aD1xDv}}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{{#NZCDCHSASB__FNUACU330aD1xDvi}}{{value}}{{/NZCDCHSASB__FNUACU330aD1xDvi}}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{{/NZCDCHSASB__FNUACU330aD1x}}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{{#NZCDCHSASB__FNUACU330aD1y}}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{{#NZCDCHSASB__FNUACU330aD1yDi}}{{value}}{{/NZCDCHSASB__FNUACU330aD1yDi}}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{{#NZCDCHSASB__FNUACU330aD1yDii}}{{value}}{{/NZCDCHSASB__FNUACU330aD1yDii}}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{{#NZCDCHSASB__FNUACU330aD1yDiii}}{{value}}{{/NZCDCHSASB__FNUACU330aD1yDiii}}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{{#NZCDCHSASB__FNUACU330aD1yDiv}}{{value}}{{/NZCDCHSASB__FNUACU330aD1yDiv}}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{{#NZCDCHSASB__FNUACU330aD1yDv}}{{value}}{{/NZCDCHSASB__FNUACU330aD1yDv}}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{{#NZCDCHSASB__FNUACU330aD1yDvi}}{{value}}{{/NZCDCHSASB__FNUACU330aD1yDvi}}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{{/NZCDCHSASB__FNUACU330aD1y}}</w:t>
      </w:r>
    </w:p>
    <w:p>
      <w:pPr>
        <w:pStyle w:val="3"/>
        <w:spacing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b w:val="0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{{#NZCDCHSASB__FNUACU330aD1z}}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{{#NZCDCHSASB__FNUACU330aD1zDi}}{{value}}{{/NZCDCHSASB__FNUACU330aD1zDi}}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{{#NZCDCHSASB__FNUACU330aD1zDii}}{{value}}{{/NZCDCHSASB__FNUACU330aD1zDii}}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{{#NZCDCHSASB__FNUACU330aD1zDiii}}{{value}}{{/NZCDCHSASB__FNUACU330aD1zDiii}}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{{#NZCDCHSASB__FNUACU330aD1zDiv}}{{value}}{{/NZCDCHSASB__FNUACU330aD1zDiv}}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{{#NZCDCHSASB__FNUACU330aD1zDv}}{{value}}{{/NZCDCHSASB__FNUACU330aD1zDv}}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{{#NZCDCHSASB__FNUACU330aD1zDvi}}{{value}}{{/NZCDCHSASB__FNUACU330aD1zDvi}}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{{/NZCDCHSASB__FNUACU330aD1z}}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{{/value}}{{/Employee Diversity Inclusion}}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{{#Incorporation of Environmental}}</w:t>
      </w:r>
    </w:p>
    <w:p>
      <w:pPr>
        <w:pStyle w:val="5"/>
      </w:pPr>
      <w:bookmarkStart w:id="3" w:name="_3znysh7" w:colFirst="0" w:colLast="0"/>
      <w:bookmarkEnd w:id="3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{{#NZCDCHSASB__FNUACU410aD1a}}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{{value}}{{/NZCDCHSASB__FNUACU410aD1a}}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{{#NZCDCHSASB__FNUACU410aD1b}}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{{value}}{{/NZCDCHSASB__FNUACU410aD1b}}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{{#NZCDCHSASB__FNUACU410aD1c}}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{{value}}{{/NZCDCHSASB__FNUACU410aD1c}}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{{#NZCDCHSASB__FNUACU410aD2a}}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{{value}}{{/NZCDCHSASB__FNUACU410aD2a}}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{{#NZCDCHSASB__FNUACU410aD3a}}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{{value}}{{/NZCDCHSASB__FNUACU410aD3a}}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{{/value}}{{/Incorporation of Environmental}}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{{#Business Ethics}}</w:t>
      </w:r>
    </w:p>
    <w:p>
      <w:pPr>
        <w:pStyle w:val="5"/>
      </w:pPr>
      <w:bookmarkStart w:id="4" w:name="_2et92p0" w:colFirst="0" w:colLast="0"/>
      <w:bookmarkEnd w:id="4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{{#NZCDCHSASB__FNUACU510aD1a}}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{{value}}{{/NZCDCHSASB__FNUACU510aD1a}}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{{#NZCDCHSASB__FNUACU510aD1b}}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{{value}}{{/NZCDCHSASB__FNUACU510aD1b}}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{{#NZCDCHSASB__FNUACU510aD2a}}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{{value}}{{/NZCDCHSASB__FNUACU510aD2a}}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{{/value}}{{/Business Ethics}}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2"/>
        <w:jc w:val="center"/>
        <w:rPr>
          <w:rFonts w:ascii="Noto Sans" w:hAnsi="Noto Sans" w:eastAsia="Noto Sans" w:cs="Noto Sans"/>
          <w:color w:val="014486"/>
          <w:sz w:val="34"/>
          <w:szCs w:val="34"/>
          <w:u w:val="none"/>
        </w:rPr>
      </w:pPr>
      <w:bookmarkStart w:id="5" w:name="_tyjcwt" w:colFirst="0" w:colLast="0"/>
      <w:bookmarkEnd w:id="5"/>
      <w:r>
        <w:rPr>
          <w:rFonts w:ascii="Noto Sans" w:hAnsi="Noto Sans" w:eastAsia="Noto Sans" w:cs="Noto Sans"/>
          <w:color w:val="014486"/>
          <w:sz w:val="34"/>
          <w:szCs w:val="34"/>
          <w:u w:val="none"/>
          <w:rtl w:val="0"/>
        </w:rPr>
        <w:t>Commercial Banks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{{#Data Security}}</w:t>
      </w:r>
    </w:p>
    <w:p>
      <w:pPr>
        <w:pStyle w:val="5"/>
      </w:pPr>
      <w:bookmarkStart w:id="6" w:name="_3dy6vkm" w:colFirst="0" w:colLast="0"/>
      <w:bookmarkEnd w:id="6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{{value}}{{/NZCDCHSASB__FNUCBU230aD1a}}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Percent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{{#value}}{{#NZCDCHSASB__FNUCBU230aD1bDi}}{{value}}{{/NZCDCHSASB__FNUCBU230aD1bDi}}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{{#NZCDCHSASB__FNUCBU230aD1bDii}}{{value}}{{/NZCDCHSASB__FNUCBU230aD1bDii}}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{{#NZCDCHSASB__FNUCBU230aD1bDiii}}{{value}}{{/NZCDCHSASB__FNUCBU230aD1bDiii}}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{{#NZCDCHSASB__FNUCBU230aD1bDiv}}{{value}}{{/NZCDCHSASB__FNUCBU230aD1bDiv}}{{/value}}</w:t>
            </w:r>
          </w:p>
        </w:tc>
      </w:tr>
    </w:tbl>
    <w:p>
      <w:pPr>
        <w:pStyle w:val="3"/>
        <w:spacing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{{/NZCDCHSASB__FNUCBU230aD1b}}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{{value}}{{/NZCDCHSASB__FNUCBU230aD1c}}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{{#NZCDCHSASB__FNUCBU230aD1d}}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{{value}}{{/NZCDCHSASB__FNUCBU230aD1d}}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{{value}}{{/NZCDCHSASB__FNUCBU230aD2a}}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{{/Data Security}}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{{#Financial Inclusion Capacity Building}}</w:t>
      </w:r>
    </w:p>
    <w:p>
      <w:pPr>
        <w:pStyle w:val="5"/>
      </w:pPr>
      <w:bookmarkStart w:id="7" w:name="_1t3h5sf" w:colFirst="0" w:colLast="0"/>
      <w:bookmarkEnd w:id="7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{{#NZCDCHSASB__FNUCBU240aD1a}}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{{value}}{{/NZCDCHSASB__FNUCBU240aD1a}}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{{#NZCDCHSASB__FNUCBU240aD1b}}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{{value}}{{/NZCDCHSASB__FNUCBU240aD1b}}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{{#NZCDCHSASB__FNUCBU240aD1c}}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{{value}}{{/NZCDCHSASB__FNUCBU240aD1c}}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{{#NZCDCHSASB__FNUCBU240aD2a}}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{{value}}{{/NZCDCHSASB__FNUCBU240aD2a}}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{{#NZCDCHSASB__FNUCBU240aD2b}}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{{value}}{{/NZCDCHSASB__FNUCBU240aD2b}}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{{#NZCDCHSASB__FNUCBU240aD3a}}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{{value}}{{/NZCDCHSASB__FNUCBU240aD3a}}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{{#NZCDCHSASB__FNUCBU240aD4a}}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{{value}}{{/NZCDCHSASB__FNUCBU240aD4a}}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{{#NZCDCHSASB__FNUCBU240aD4b}}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{{value}}{{/NZCDCHSASB__FNUCBU240aD4b}}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{{/Financial Inclusion Capacity Building}}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{{#Incorporation of Environmental CB}}</w:t>
      </w:r>
    </w:p>
    <w:p>
      <w:pPr>
        <w:pStyle w:val="5"/>
      </w:pPr>
      <w:bookmarkStart w:id="8" w:name="_4d34og8" w:colFirst="0" w:colLast="0"/>
      <w:bookmarkEnd w:id="8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{{#NZCDCHSASB__FNUCBU410aD1a}}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{{value}}{{/NZCDCHSASB__FNUCBU410aD1a}}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{{#NZCDCHSASB__FNUCBU410aD2a}}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{{value}}{{/NZCDCHSASB__FNUCBU410aD2a}}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{{/Incorporation of Environmental CB}}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{{#Business EthicsCB}}</w:t>
      </w:r>
    </w:p>
    <w:p>
      <w:pPr>
        <w:pStyle w:val="5"/>
      </w:pPr>
      <w:bookmarkStart w:id="9" w:name="_2s8eyo1" w:colFirst="0" w:colLast="0"/>
      <w:bookmarkEnd w:id="9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{{#NZCDCHSASB__FNUCBU510aD1a}}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{{value}}{{/NZCDCHSASB__FNUCBU510aD1a}}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{{#NZCDCHSASB__FNUCBU510aD1b}}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{{value}}{{/NZCDCHSASB__FNUCBU510aD1b}}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{{#NZCDCHSASB__FNUCBU510aD2a}}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{{value}}{{/NZCDCHSASB__FNUCBU510aD2a}}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{{/Business EthicsCB}}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{{#Systemic Risk Management}}</w:t>
      </w:r>
    </w:p>
    <w:p>
      <w:pPr>
        <w:pStyle w:val="5"/>
      </w:pPr>
      <w:bookmarkStart w:id="10" w:name="_17dp8vu" w:colFirst="0" w:colLast="0"/>
      <w:bookmarkEnd w:id="10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{{#NZCDCHSASB__FNUCBU550aD1a}}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{{value}}{{/NZCDCHSASB__FNUCBU550aD1a}}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{{#NZCDCHSASB__FNUCBU550aD1b}}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{{value}}{{/NZCDCHSASB__FNUCBU550aD1b}}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{{#NZCDCHSASB__FNUCBU550aD1c}}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{{value}}{{/NZCDCHSASB__FNUCBU550aD1c}}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{{#NZCDCHSASB__FNUCBU550aD1d}}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{{value}}{{/NZCDCHSASB__FNUCBU550aD1d}}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{{#NZCDCHSASB__FNUCBU550aD1e}}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{{value}}{{/NZCDCHSASB__FNUCBU550aD1e}}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{{#NZCDCHSASB__FNUCBU550aD1f}}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{{value}}{{/NZCDCHSASB__FNUCBU550aD1f}}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{{#NZCDCHSASB__FNUCBU550aD1g}}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{{value}}{{/NZCDCHSASB__FNUCBU550aD1g}}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{{#NZCDCHSASB__FNUCBU550aD2a}}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{{value}}{{/NZCDCHSASB__FNUCBU550aD2a}}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{{/Systemic Risk Management}}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2"/>
        <w:jc w:val="center"/>
        <w:rPr>
          <w:rFonts w:ascii="Noto Sans" w:hAnsi="Noto Sans" w:eastAsia="Noto Sans" w:cs="Noto Sans"/>
          <w:color w:val="014486"/>
          <w:sz w:val="34"/>
          <w:szCs w:val="34"/>
          <w:u w:val="none"/>
        </w:rPr>
      </w:pPr>
      <w:bookmarkStart w:id="11" w:name="_3rdcrjn" w:colFirst="0" w:colLast="0"/>
      <w:bookmarkEnd w:id="11"/>
      <w:r>
        <w:rPr>
          <w:rFonts w:ascii="Noto Sans" w:hAnsi="Noto Sans" w:eastAsia="Noto Sans" w:cs="Noto Sans"/>
          <w:color w:val="014486"/>
          <w:sz w:val="34"/>
          <w:szCs w:val="34"/>
          <w:u w:val="none"/>
          <w:rtl w:val="0"/>
        </w:rPr>
        <w:t>Consumer Finance</w:t>
      </w:r>
    </w:p>
    <w:p>
      <w:pPr>
        <w:pStyle w:val="3"/>
        <w:jc w:val="center"/>
        <w:rPr>
          <w:rFonts w:ascii="Noto Sans" w:hAnsi="Noto Sans" w:eastAsia="Noto Sans" w:cs="Noto Sans"/>
          <w:color w:val="014486"/>
          <w:u w:val="none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{{#Customer Privacy}}</w:t>
      </w:r>
    </w:p>
    <w:p>
      <w:pPr>
        <w:pStyle w:val="5"/>
      </w:pPr>
      <w:bookmarkStart w:id="12" w:name="_26in1rg" w:colFirst="0" w:colLast="0"/>
      <w:bookmarkEnd w:id="12"/>
      <w:r>
        <w:rPr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{{#NZCDCHSASB__FNUCFU220aD1a}}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{{value}}{{/NZCDCHSASB__FNUCFU220aD1a}}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{{#NZCDCHSASB__FNUCFU220aD1b}}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{{value}}{{/NZCDCHSASB__FNUCFU220aD1b}}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{{#NZCDCHSASB__FNUCFU220aD1c}}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{{value}}{{/NZCDCHSASB__FNUCFU220aD1c}}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{{#NZCDCHSASB__FNUCFU220aD2a}}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Fine Amount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{{#value}}{{#NZCDCHSASB__FNUCFU220aD2aDi}}{{value}}{{/NZCDCHSASB__FNUCFU220aD2aDi}}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{{#NZCDCHSASB__FNUCFU220aD2aDii}}{{value}}{{/NZCDCHSASB__FNUCFU220aD2aDii}}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{{#NZCDCHSASB__FNUCFU220aD2aDiii}}{{value}}{{/NZCDCHSASB__FNUCFU220aD2aDiii}}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{{#NZCDCHSASB__FNUCFU220aD2aDiv}}{{value}}{{/NZCDCHSASB__FNUCFU220aD2aDiv}}{{/value}}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{{/NZCDCHSASB__FNUCFU220aD2a}}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{{#NZCDCHSASB__FNUCFU220aD2b}}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{{value}}{{/NZCDCHSASB__FNUCFU220aD2b}}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{{/Customer Privacy}}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{{#Data SecurityCF}}</w:t>
      </w:r>
    </w:p>
    <w:p>
      <w:pPr>
        <w:pStyle w:val="5"/>
      </w:pPr>
      <w:bookmarkStart w:id="13" w:name="_lnxbz9" w:colFirst="0" w:colLast="0"/>
      <w:bookmarkEnd w:id="13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{{value}}{{/NZCDCHSASB__FNUCFU230aD1a}}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Percent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{{#value}}{{#NZCDCHSASB__FNUCFU230aD1bDi}}{{value}}{{/NZCDCHSASB__FNUCFU230aD1bDi}}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{{#NZCDCHSASB__FNUCFU230aD1bDii}}{{value}}{{/NZCDCHSASB__FNUCFU230aD1bDii}}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{{#NZCDCHSASB__FNUCFU230aD1bDiii}}{{value}}{{/NZCDCHSASB__FNUCFU230aD1bDiii}}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{{#NZCDCHSASB__FNUCFU230aD1bDiv}}{{value}}{{/NZCDCHSASB__FNUCFU230aD1bDiv}}{{/value}}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{{/NZCDCHSASB__FNUCFU230aD1b}}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{{value}}{{/NZCDCHSASB__FNUCFU230aD1c}}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{{#NZCDCHSASB__FNUCFU230aD1d}}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{{value}}{{/NZCDCHSASB__FNUCFU230aD1d}}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{{value}}{{/NZCDCHSASB__FNUCFU230aD2a}}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{{#NZCDCHSASB__FNUCFU230aD2b}}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{{value}}{{/NZCDCHSASB__FNUCFU230aD2b}}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{{#NZCDCHSASB__FNUCFU230aD3a}}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{{value}}{{/NZCDCHSASB__FNUCFU230aD3a}}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{{/Data SecurityCF}}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{{#Selling Practices}}</w:t>
      </w:r>
    </w:p>
    <w:p>
      <w:pPr>
        <w:pStyle w:val="5"/>
      </w:pPr>
      <w:bookmarkStart w:id="14" w:name="_35nkun2" w:colFirst="0" w:colLast="0"/>
      <w:bookmarkEnd w:id="14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{{value}}{{/NZCDCHSASB__FNUCFU270aD1a}}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{{value}}{{/NZCDCHSASB__FNUCFU270aD1b}}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{{value}}{{/NZCDCHSASB__FNUCFU270aD2a}}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{{value}}{{/NZCDCHSASB__FNUCFU270aD2b}}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{{#NZCDCHSASB__FNUCFU270aD2c}}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{{value}}{{/NZCDCHSASB__FNUCFU270aD2c}}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{{#NZCDCHSASB__FNUCFU270aD2d}}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{{value}}{{/NZCDCHSASB__FNUCFU270aD2d}}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{{#NZCDCHSASB__FNUCFU270aD2e}}{{label}}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{{value}}{{/NZCDCHSASB__FNUCFU270aD2e}}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{{value}}{{/NZCDCHSASB__FNUCFU270aD3a}}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{{#NZCDCHSASB__FNUCFU270aD3b}}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{{value}}{{/NZCDCHSASB__FNUCFU270aD3b}}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{{#NZCDCHSASB__FNUCFU270aD3c}}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{{value}}{{/NZCDCHSASB__FNUCFU270aD3c}}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{{#NZCDCHSASB__FNUCFU270aD3d}}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{{value}}{{/NZCDCHSASB__FNUCFU270aD3d}}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{{#NZCDCHSASB__FNUCFU270aD3e}}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{{value}}{{/NZCDCHSASB__FNUCFU270aD3e}}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{{#NZCDCHSASB__FNUCFU270aD3f}}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{{value}}{{/NZCDCHSASB__FNUCFU270aD3f}}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{{#NZCDCHSASB__FNUCFU270aD3g}}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{{value}}{{/NZCDCHSASB__FNUCFU270aD3g}}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{{#NZCDCHSASB__FNUCFU270aD3h}}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{{value}}{{/NZCDCHSASB__FNUCFU270aD3h}}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{{#NZCDCHSASB__FNUCFU270aD3i}}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{{value}}{{/NZCDCHSASB__FNUCFU270aD3i}}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{{#NZCDCHSASB__FNUCFU270aD3j}}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{{value}}{{/NZCDCHSASB__FNUCFU270aD3j}}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{{#NZCDCHSASB__FNUCFU270aD4a}}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{{value}}{{/NZCDCHSASB__FNUCFU270aD4a}}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{{#NZCDCHSASB__FNUCFU270aD4b}}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{{value}}{{/NZCDCHSASB__FNUCFU270aD4b}}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{{#NZCDCHSASB__FNUCFU270aD4c}}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{{value}}{{/NZCDCHSASB__FNUCFU270aD4c}}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{{#NZCDCHSASB__FNUCFU270aD4d}}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{{value}}{{/NZCDCHSASB__FNUCFU270aD4d}}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{{#NZCDCHSASB__FNUCFU270aD5a}}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{{value}}{{/NZCDCHSASB__FNUCFU270aD5a}}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{{#NZCDCHSASB__FNUCFU270aD5b}}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{{value}}{{/NZCDCHSASB__FNUCFU270aD5b}}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{{/Selling Practices}}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2"/>
        <w:jc w:val="center"/>
        <w:rPr>
          <w:rFonts w:ascii="Noto Sans" w:hAnsi="Noto Sans" w:eastAsia="Noto Sans" w:cs="Noto Sans"/>
          <w:color w:val="014486"/>
          <w:sz w:val="34"/>
          <w:szCs w:val="34"/>
          <w:u w:val="none"/>
        </w:rPr>
      </w:pPr>
      <w:bookmarkStart w:id="15" w:name="_1ksv4uv" w:colFirst="0" w:colLast="0"/>
      <w:bookmarkEnd w:id="15"/>
      <w:r>
        <w:rPr>
          <w:rFonts w:ascii="Noto Sans" w:hAnsi="Noto Sans" w:eastAsia="Noto Sans" w:cs="Noto Sans"/>
          <w:color w:val="014486"/>
          <w:sz w:val="34"/>
          <w:szCs w:val="34"/>
          <w:u w:val="none"/>
          <w:rtl w:val="0"/>
        </w:rPr>
        <w:t>Insurance</w:t>
      </w:r>
    </w:p>
    <w:p>
      <w:pPr>
        <w:pStyle w:val="3"/>
        <w:jc w:val="center"/>
        <w:rPr>
          <w:rFonts w:ascii="Noto Sans" w:hAnsi="Noto Sans" w:eastAsia="Noto Sans" w:cs="Noto Sans"/>
          <w:color w:val="014486"/>
          <w:u w:val="none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{{#Transparent Information and Fair Advice for Customers}}</w:t>
      </w:r>
    </w:p>
    <w:p>
      <w:pPr>
        <w:pStyle w:val="5"/>
      </w:pPr>
      <w:bookmarkStart w:id="16" w:name="_44sinio" w:colFirst="0" w:colLast="0"/>
      <w:bookmarkEnd w:id="16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{{#NZCDCHSASB__FNUINU270aD1a}}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{{value}}{{/NZCDCHSASB__FNUINU270aD1a}}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{{#NZCDCHSASB__FNUINU270aD1b}}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{{value}}{{/NZCDCHSASB__FNUINU270aD1b}}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{{#NZCDCHSASB__FNUINU270aD2a}}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{{value}}{{/NZCDCHSASB__FNUINU270aD2a}}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{{#NZCDCHSASB__FNUINU270aD3a}}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{{value}}{{/NZCDCHSASB__FNUINU270aD3a}}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{{#NZCDCHSASB__FNUINU270aD4a}}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{{value}}{{/NZCDCHSASB__FNUINU270aD4a}}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{{/Transparent Information and Fair Advice for Customers}}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{{#Incorporation of Environmental Social and Governance Factors}}</w:t>
      </w:r>
    </w:p>
    <w:p>
      <w:pPr>
        <w:pStyle w:val="5"/>
      </w:pPr>
      <w:bookmarkStart w:id="17" w:name="_2jxsxqh" w:colFirst="0" w:colLast="0"/>
      <w:bookmarkEnd w:id="17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{{#NZCDCHSASB__FNUINU410aD1a}}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{{value}}{{/NZCDCHSASB__FNUINU410aD1a}}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{{#NZCDCHSASB__FNUINU410aD2a}}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{{value}}{{/NZCDCHSASB__FNUINU410aD2a}}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{{/Incorporation of Environmental Social and Governance Factors}}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{{#Policies Designed to Incentivize Responsible Behavior}}</w:t>
      </w:r>
    </w:p>
    <w:p>
      <w:pPr>
        <w:pStyle w:val="5"/>
      </w:pPr>
      <w:bookmarkStart w:id="18" w:name="_z337ya" w:colFirst="0" w:colLast="0"/>
      <w:bookmarkEnd w:id="18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{{#NZCDCHSASB__FNUINU410bD1a}}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{{value}}{{/NZCDCHSASB__FNUINU410bD1a}}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{{#NZCDCHSASB__FNUINU410bD2a}}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{{value}}{{/NZCDCHSASB__FNUINU410bD2a}}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{{/Policies Designed to Incentivize Responsible Behavior}}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{{#Environmental Risk Exposure}}</w:t>
      </w:r>
    </w:p>
    <w:p>
      <w:pPr>
        <w:pStyle w:val="5"/>
      </w:pPr>
      <w:bookmarkStart w:id="19" w:name="_3j2qqm3" w:colFirst="0" w:colLast="0"/>
      <w:bookmarkEnd w:id="19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{{#NZCDCHSASB__FNUINU450aD1a}}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{{value}}{{/NZCDCHSASB__FNUINU450aD1a}}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{{#NZCDCHSASB__FNUINU450aD1b}}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{{value}}{{/NZCDCHSASB__FNUINU450aD1b}}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{{#NZCDCHSASB__FNUINU450aD2a}}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{{value}}{{/NZCDCHSASB__FNUINU450aD2a}}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{{#NZCDCHSASB__FNUINU450aD2b}}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{{value}}{{/NZCDCHSASB__FNUINU450aD2b}}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{{#NZCDCHSASB__FNUINU450aD2c}}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{{value}}{{/NZCDCHSASB__FNUINU450aD2c}}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{{#NZCDCHSASB__FNUINU450aD2d}}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{{value}}{{/NZCDCHSASB__FNUINU450aD2d}}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{{#NZCDCHSASB__FNUINU450aD2e}}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{{value}}{{/NZCDCHSASB__FNUINU450aD2e}}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{{#NZCDCHSASB__FNUINU450aD3a}}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{{value}}{{/NZCDCHSASB__FNUINU450aD3a}}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{{#NZCDCHSASB__FNUINU450aD3b}}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{{value}}{{/NZCDCHSASB__FNUINU450aD3b}}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{{/Environmental Risk Exposure}}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{{#Insurance Systemic Risk Management}}</w:t>
      </w:r>
    </w:p>
    <w:p>
      <w:pPr>
        <w:pStyle w:val="5"/>
      </w:pPr>
      <w:bookmarkStart w:id="20" w:name="_1y810tw" w:colFirst="0" w:colLast="0"/>
      <w:bookmarkEnd w:id="20"/>
      <w:r>
        <w:rPr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{{#NZCDCHSASB__FNUINU550aD1a}}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{{value}}{{/NZCDCHSASB__FNUINU550aD1a}}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{{#NZCDCHSASB__FNUINU550aD1b}}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{{value}}{{/NZCDCHSASB__FNUINU550aD1b}}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{{#NZCDCHSASB__FNUINU550aD1c}}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{{value}}{{/NZCDCHSASB__FNUINU550aD1c}}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{{#NZCDCHSASB__FNUINU550aD2a}}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{{value}}{{/NZCDCHSASB__FNUINU550aD2a}}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{{#NZCDCHSASB__FNUINU550aD3a}}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{{value}}{{/NZCDCHSASB__FNUINU550aD3a}}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{{/Insurance Systemic Risk Management}}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{{/SASB2023_</w:t>
      </w:r>
      <w:r>
        <w:rPr>
          <w:rFonts w:hint="default" w:ascii="Noto Sans" w:hAnsi="Noto Sans" w:eastAsia="Noto Sans"/>
          <w:b w:val="0"/>
          <w:color w:val="181818"/>
          <w:sz w:val="18"/>
          <w:szCs w:val="18"/>
          <w:u w:val="none"/>
          <w:rtl w:val="0"/>
        </w:rPr>
        <w:t>FINCLSASB2023DF</w:t>
      </w:r>
      <w:bookmarkStart w:id="21" w:name="_GoBack"/>
      <w:bookmarkEnd w:id="21"/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_English}}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sectPr>
      <w:headerReference r:id="rId8" w:type="first"/>
      <w:headerReference r:id="rId7" w:type="default"/>
      <w:footerReference r:id="rId9" w:type="default"/>
      <w:pgSz w:w="12240" w:h="15840"/>
      <w:pgMar w:top="1440" w:right="1440" w:bottom="1440" w:left="1440" w:header="720" w:footer="720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color w:val="666666"/>
        <w:sz w:val="20"/>
        <w:szCs w:val="20"/>
      </w:rPr>
    </w:pPr>
  </w:p>
  <w:p>
    <w:pPr>
      <w:pStyle w:val="3"/>
      <w:rPr>
        <w:color w:val="666666"/>
        <w:sz w:val="20"/>
        <w:szCs w:val="20"/>
      </w:rPr>
    </w:pPr>
    <w:r>
      <w:drawing>
        <wp:anchor distT="91440" distB="114300" distL="114300" distR="114300" simplePos="0" relativeHeight="251659264" behindDoc="0" locked="0" layoutInCell="1" allowOverlap="1">
          <wp:simplePos x="0" y="0"/>
          <wp:positionH relativeFrom="column">
            <wp:posOffset>4855210</wp:posOffset>
          </wp:positionH>
          <wp:positionV relativeFrom="paragraph">
            <wp:posOffset>151130</wp:posOffset>
          </wp:positionV>
          <wp:extent cx="1892935" cy="480060"/>
          <wp:effectExtent l="0" t="0" r="0" b="0"/>
          <wp:wrapSquare wrapText="bothSides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/>
                </pic:nvPicPr>
                <pic:blipFill>
                  <a:blip r:embed="rId1"/>
                  <a:srcRect t="5516" r="-3523" b="5514"/>
                  <a:stretch>
                    <a:fillRect/>
                  </a:stretch>
                </pic:blipFill>
                <pic:spPr>
                  <a:xfrm>
                    <a:off x="0" y="0"/>
                    <a:ext cx="1892808" cy="479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3"/>
      <w:widowControl w:val="0"/>
      <w:rPr>
        <w:b w:val="0"/>
        <w:u w:val="no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anchor distT="91440" distB="114300" distL="114300" distR="114300" simplePos="0" relativeHeight="251660288" behindDoc="0" locked="0" layoutInCell="1" allowOverlap="1">
          <wp:simplePos x="0" y="0"/>
          <wp:positionH relativeFrom="column">
            <wp:posOffset>4867275</wp:posOffset>
          </wp:positionH>
          <wp:positionV relativeFrom="paragraph">
            <wp:posOffset>-3175</wp:posOffset>
          </wp:positionV>
          <wp:extent cx="1892935" cy="480060"/>
          <wp:effectExtent l="0" t="0" r="0" b="0"/>
          <wp:wrapSquare wrapText="bothSides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/>
                  <pic:cNvPicPr/>
                </pic:nvPicPr>
                <pic:blipFill>
                  <a:blip r:embed="rId1"/>
                  <a:srcRect t="5516" r="-3523" b="5514"/>
                  <a:stretch>
                    <a:fillRect/>
                  </a:stretch>
                </pic:blipFill>
                <pic:spPr>
                  <a:xfrm>
                    <a:off x="0" y="0"/>
                    <a:ext cx="1892808" cy="479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_x0000_s2049" o:spid="_x0000_s2049" o:spt="75" type="#_x0000_t75" style="position:absolute;left:0pt;margin-left:-76.1pt;margin-top:-73.1pt;height:801pt;width:623.25pt;mso-position-horizontal-relative:margin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o:title="image3.png"/>
          <o:lock v:ext="edit" aspectratio="t"/>
        </v:shape>
      </w:pict>
    </w:r>
  </w:p>
  <w:p>
    <w:pPr>
      <w:pStyle w:val="3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64"/>
        <w:szCs w:val="64"/>
      </w:rPr>
      <w:drawing>
        <wp:inline distT="114300" distB="114300" distL="114300" distR="114300">
          <wp:extent cx="1532255" cy="404495"/>
          <wp:effectExtent l="0" t="0" r="0" b="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2504" cy="404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0"/>
      <w:jc w:val="right"/>
      <w:rPr>
        <w:b w:val="0"/>
        <w:sz w:val="22"/>
        <w:szCs w:val="22"/>
        <w:u w:val="none"/>
      </w:rPr>
    </w:pPr>
    <w:r>
      <w:rPr>
        <w:b w:val="0"/>
        <w:sz w:val="22"/>
        <w:szCs w:val="22"/>
        <w:u w:val="none"/>
      </w:rPr>
      <w:fldChar w:fldCharType="begin"/>
    </w:r>
    <w:r>
      <w:rPr>
        <w:b w:val="0"/>
        <w:sz w:val="22"/>
        <w:szCs w:val="22"/>
        <w:u w:val="none"/>
      </w:rPr>
      <w:instrText xml:space="preserve">PAGE</w:instrText>
    </w:r>
    <w:r>
      <w:rPr>
        <w:b w:val="0"/>
        <w:sz w:val="22"/>
        <w:szCs w:val="22"/>
        <w:u w:val="none"/>
      </w:rPr>
      <w:fldChar w:fldCharType="separate"/>
    </w:r>
    <w:r>
      <w:rPr>
        <w:b w:val="0"/>
        <w:sz w:val="22"/>
        <w:szCs w:val="22"/>
        <w:u w:val="none"/>
      </w:rPr>
      <w:fldChar w:fldCharType="end"/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-170815</wp:posOffset>
          </wp:positionV>
          <wp:extent cx="1514475" cy="400050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475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inline distT="114300" distB="114300" distL="114300" distR="114300">
          <wp:extent cx="1568450" cy="41402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8563" cy="4143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24828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b/>
      <w:sz w:val="34"/>
      <w:szCs w:val="34"/>
      <w:u w:val="single"/>
      <w:lang w:val="en" w:eastAsia="en-US" w:bidi="ar-SA"/>
    </w:rPr>
  </w:style>
  <w:style w:type="paragraph" w:styleId="2">
    <w:name w:val="heading 1"/>
    <w:basedOn w:val="3"/>
    <w:next w:val="3"/>
    <w:uiPriority w:val="0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4">
    <w:name w:val="heading 2"/>
    <w:basedOn w:val="3"/>
    <w:next w:val="3"/>
    <w:uiPriority w:val="0"/>
    <w:pPr>
      <w:keepNext/>
      <w:keepLines/>
      <w:pageBreakBefore w:val="0"/>
      <w:spacing w:before="360" w:after="120"/>
      <w:outlineLvl w:val="1"/>
    </w:pPr>
    <w:rPr>
      <w:b w:val="0"/>
      <w:sz w:val="32"/>
      <w:szCs w:val="32"/>
    </w:rPr>
  </w:style>
  <w:style w:type="paragraph" w:styleId="5">
    <w:name w:val="heading 3"/>
    <w:basedOn w:val="3"/>
    <w:next w:val="3"/>
    <w:uiPriority w:val="0"/>
    <w:pPr>
      <w:keepNext/>
      <w:keepLines/>
      <w:spacing w:after="0"/>
      <w:outlineLvl w:val="2"/>
    </w:pPr>
    <w:rPr>
      <w:rFonts w:ascii="Noto Sans" w:hAnsi="Noto Sans" w:eastAsia="Noto Sans" w:cs="Noto Sans"/>
      <w:sz w:val="28"/>
      <w:szCs w:val="28"/>
      <w:u w:val="none"/>
    </w:rPr>
  </w:style>
  <w:style w:type="paragraph" w:styleId="6">
    <w:name w:val="heading 4"/>
    <w:basedOn w:val="3"/>
    <w:next w:val="3"/>
    <w:uiPriority w:val="0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uiPriority w:val="0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pageBreakBefore w:val="0"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qFormat/>
    <w:uiPriority w:val="0"/>
    <w:rPr>
      <w:rFonts w:ascii="Arial" w:hAnsi="Arial" w:eastAsia="Arial" w:cs="Arial"/>
      <w:b/>
      <w:sz w:val="34"/>
      <w:szCs w:val="34"/>
      <w:u w:val="single"/>
      <w:lang w:val="en" w:eastAsia="en-US" w:bidi="ar-SA"/>
    </w:rPr>
  </w:style>
  <w:style w:type="paragraph" w:styleId="11">
    <w:name w:val="Subtitle"/>
    <w:basedOn w:val="3"/>
    <w:next w:val="3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3"/>
    <w:next w:val="3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  <w:style w:type="table" w:customStyle="1" w:styleId="14">
    <w:name w:val="Table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Table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Table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Table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Table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Table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Table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Table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Table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Table1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Table1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Table1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Table1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Table1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Table1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Table1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Table1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Table1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Table1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Table2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Table2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Table2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Table2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Table2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Table2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Table2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Table2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Table2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Table2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Table3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Table3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Table3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Table3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Table3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Table3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Table3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Table3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Table38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Table3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2023-06-23T09:09:44Z</dcterms:created>
  <dc:creator>admin</dc:creator>
  <cp:lastModifiedBy>admin</cp:lastModifiedBy>
  <dcterms:modified xsi:type="dcterms:W3CDTF">2023-06-23T09:10:15Z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1033-11.2.0.11213</vt:lpwstr>
  </property>
  <property fmtid="{D5CDD505-2E9C-101B-9397-08002B2CF9AE}" pid="3" name="ICV">
    <vt:lpwstr>1513C27E24044CA3BF9323D2E6405BC2</vt:lpwstr>
  </property>
</Properties>
</file>