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pageBreakBefore w:val="0"/>
        <w:ind w:left="0" w:firstLine="0"/>
        <w:jc w:val="center"/>
        <w:rPr>
          <w:rFonts w:ascii="Salesforce Sans" w:cs="Salesforce Sans" w:eastAsia="Salesforce Sans" w:hAnsi="Salesforce Sans"/>
          <w:color w:val="666666"/>
          <w:sz w:val="44"/>
          <w:szCs w:val="44"/>
        </w:rPr>
      </w:pPr>
      <w:bookmarkStart w:colFirst="0" w:colLast="0" w:name="_vxiwgpa8zsrb" w:id="0"/>
      <w:bookmarkEnd w:id="0"/>
      <w:r w:rsidDel="00000000" w:rsidR="00000000" w:rsidRPr="00000000">
        <w:rPr>
          <w:rFonts w:ascii="Salesforce Sans" w:cs="Salesforce Sans" w:eastAsia="Salesforce Sans" w:hAnsi="Salesforce Sans"/>
          <w:color w:val="666666"/>
          <w:rtl w:val="0"/>
        </w:rPr>
        <w:t xml:space="preserve">Accelerator for Patient Services </w:t>
      </w:r>
      <w:r w:rsidDel="00000000" w:rsidR="00000000" w:rsidRPr="00000000">
        <w:rPr>
          <w:rFonts w:ascii="Salesforce Sans" w:cs="Salesforce Sans" w:eastAsia="Salesforce Sans" w:hAnsi="Salesforce Sans"/>
          <w:color w:val="666666"/>
          <w:sz w:val="44"/>
          <w:szCs w:val="44"/>
          <w:rtl w:val="0"/>
        </w:rPr>
        <w:t xml:space="preserve">Best Practice Guide</w:t>
      </w:r>
    </w:p>
    <w:p w:rsidR="00000000" w:rsidDel="00000000" w:rsidP="00000000" w:rsidRDefault="00000000" w:rsidRPr="00000000" w14:paraId="00000002">
      <w:pPr>
        <w:pStyle w:val="Subtitle"/>
        <w:pageBreakBefore w:val="0"/>
        <w:spacing w:before="240" w:lineRule="auto"/>
        <w:ind w:left="0" w:firstLine="0"/>
        <w:jc w:val="center"/>
        <w:rPr>
          <w:rFonts w:ascii="Salesforce Sans" w:cs="Salesforce Sans" w:eastAsia="Salesforce Sans" w:hAnsi="Salesforce Sans"/>
          <w:sz w:val="28"/>
          <w:szCs w:val="28"/>
        </w:rPr>
      </w:pPr>
      <w:bookmarkStart w:colFirst="0" w:colLast="0" w:name="_9iwyulq05ga6" w:id="1"/>
      <w:bookmarkEnd w:id="1"/>
      <w:r w:rsidDel="00000000" w:rsidR="00000000" w:rsidRPr="00000000">
        <w:rPr>
          <w:rFonts w:ascii="Salesforce Sans" w:cs="Salesforce Sans" w:eastAsia="Salesforce Sans" w:hAnsi="Salesforce Sans"/>
          <w:sz w:val="28"/>
          <w:szCs w:val="28"/>
          <w:rtl w:val="0"/>
        </w:rPr>
        <w:t xml:space="preserve">Last updated</w:t>
      </w:r>
      <w:r w:rsidDel="00000000" w:rsidR="00000000" w:rsidRPr="00000000">
        <w:rPr>
          <w:rFonts w:ascii="Salesforce Sans" w:cs="Salesforce Sans" w:eastAsia="Salesforce Sans" w:hAnsi="Salesforce Sans"/>
          <w:sz w:val="28"/>
          <w:szCs w:val="28"/>
          <w:rtl w:val="0"/>
        </w:rPr>
        <w:t xml:space="preserve"> dated </w:t>
      </w:r>
      <w:r w:rsidDel="00000000" w:rsidR="00000000" w:rsidRPr="00000000">
        <w:rPr>
          <w:rFonts w:ascii="Salesforce Sans" w:cs="Salesforce Sans" w:eastAsia="Salesforce Sans" w:hAnsi="Salesforce Sans"/>
          <w:sz w:val="28"/>
          <w:szCs w:val="28"/>
          <w:rtl w:val="0"/>
        </w:rPr>
        <w:t xml:space="preserve">Apr 6, 2022</w:t>
      </w:r>
      <w:r w:rsidDel="00000000" w:rsidR="00000000" w:rsidRPr="00000000">
        <w:rPr>
          <w:rtl w:val="0"/>
        </w:rPr>
      </w:r>
    </w:p>
    <w:p w:rsidR="00000000" w:rsidDel="00000000" w:rsidP="00000000" w:rsidRDefault="00000000" w:rsidRPr="00000000" w14:paraId="00000003">
      <w:pPr>
        <w:pStyle w:val="Heading1"/>
        <w:pageBreakBefore w:val="0"/>
        <w:ind w:left="0" w:firstLine="0"/>
        <w:rPr>
          <w:rFonts w:ascii="Salesforce Sans" w:cs="Salesforce Sans" w:eastAsia="Salesforce Sans" w:hAnsi="Salesforce Sans"/>
          <w:color w:val="00a1e0"/>
          <w:shd w:fill="b7b7b7"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-1066799</wp:posOffset>
            </wp:positionH>
            <wp:positionV relativeFrom="paragraph">
              <wp:posOffset>504825</wp:posOffset>
            </wp:positionV>
            <wp:extent cx="8072438" cy="3461137"/>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8072438" cy="3461137"/>
                    </a:xfrm>
                    <a:prstGeom prst="rect"/>
                    <a:ln/>
                  </pic:spPr>
                </pic:pic>
              </a:graphicData>
            </a:graphic>
          </wp:anchor>
        </w:drawing>
      </w:r>
    </w:p>
    <w:p w:rsidR="00000000" w:rsidDel="00000000" w:rsidP="00000000" w:rsidRDefault="00000000" w:rsidRPr="00000000" w14:paraId="00000004">
      <w:pPr>
        <w:pageBreakBefore w:val="0"/>
        <w:ind w:left="0" w:firstLine="0"/>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05">
      <w:pPr>
        <w:pageBreakBefore w:val="0"/>
        <w:spacing w:after="0" w:lineRule="auto"/>
        <w:ind w:left="0" w:firstLine="0"/>
        <w:rPr>
          <w:rFonts w:ascii="Salesforce Sans" w:cs="Salesforce Sans" w:eastAsia="Salesforce Sans" w:hAnsi="Salesforce Sans"/>
          <w:b w:val="1"/>
          <w:color w:val="666666"/>
          <w:sz w:val="28"/>
          <w:szCs w:val="28"/>
          <w:highlight w:val="yellow"/>
        </w:rPr>
      </w:pPr>
      <w:r w:rsidDel="00000000" w:rsidR="00000000" w:rsidRPr="00000000">
        <w:rPr>
          <w:rtl w:val="0"/>
        </w:rPr>
      </w:r>
    </w:p>
    <w:p w:rsidR="00000000" w:rsidDel="00000000" w:rsidP="00000000" w:rsidRDefault="00000000" w:rsidRPr="00000000" w14:paraId="00000006">
      <w:pPr>
        <w:pageBreakBefore w:val="0"/>
        <w:spacing w:after="0" w:lineRule="auto"/>
        <w:ind w:left="0" w:firstLine="0"/>
        <w:rPr>
          <w:rFonts w:ascii="Salesforce Sans" w:cs="Salesforce Sans" w:eastAsia="Salesforce Sans" w:hAnsi="Salesforce Sans"/>
          <w:b w:val="1"/>
          <w:color w:val="666666"/>
          <w:sz w:val="28"/>
          <w:szCs w:val="28"/>
          <w:highlight w:val="yellow"/>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4352925</wp:posOffset>
            </wp:positionH>
            <wp:positionV relativeFrom="paragraph">
              <wp:posOffset>219075</wp:posOffset>
            </wp:positionV>
            <wp:extent cx="1908252" cy="1409700"/>
            <wp:effectExtent b="0" l="0" r="0" t="0"/>
            <wp:wrapSquare wrapText="bothSides" distB="0" distT="0" distL="114300" distR="11430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08252" cy="1409700"/>
                    </a:xfrm>
                    <a:prstGeom prst="rect"/>
                    <a:ln/>
                  </pic:spPr>
                </pic:pic>
              </a:graphicData>
            </a:graphic>
          </wp:anchor>
        </w:drawing>
      </w:r>
    </w:p>
    <w:p w:rsidR="00000000" w:rsidDel="00000000" w:rsidP="00000000" w:rsidRDefault="00000000" w:rsidRPr="00000000" w14:paraId="00000007">
      <w:pPr>
        <w:pageBreakBefore w:val="0"/>
        <w:spacing w:after="0" w:lineRule="auto"/>
        <w:ind w:left="0" w:firstLine="0"/>
        <w:rPr>
          <w:rFonts w:ascii="Salesforce Sans" w:cs="Salesforce Sans" w:eastAsia="Salesforce Sans" w:hAnsi="Salesforce Sans"/>
          <w:color w:val="666666"/>
          <w:sz w:val="28"/>
          <w:szCs w:val="28"/>
        </w:rPr>
      </w:pPr>
      <w:r w:rsidDel="00000000" w:rsidR="00000000" w:rsidRPr="00000000">
        <w:rPr>
          <w:rFonts w:ascii="Salesforce Sans" w:cs="Salesforce Sans" w:eastAsia="Salesforce Sans" w:hAnsi="Salesforce Sans"/>
          <w:b w:val="1"/>
          <w:color w:val="666666"/>
          <w:sz w:val="28"/>
          <w:szCs w:val="28"/>
          <w:rtl w:val="0"/>
        </w:rPr>
        <w:t xml:space="preserve">Presented by:</w:t>
      </w:r>
      <w:r w:rsidDel="00000000" w:rsidR="00000000" w:rsidRPr="00000000">
        <w:rPr>
          <w:rFonts w:ascii="Salesforce Sans" w:cs="Salesforce Sans" w:eastAsia="Salesforce Sans" w:hAnsi="Salesforce Sans"/>
          <w:color w:val="666666"/>
          <w:sz w:val="28"/>
          <w:szCs w:val="28"/>
          <w:rtl w:val="0"/>
        </w:rPr>
        <w:t xml:space="preserve">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color w:val="666666"/>
          <w:sz w:val="28"/>
          <w:szCs w:val="28"/>
        </w:rPr>
      </w:pPr>
      <w:r w:rsidDel="00000000" w:rsidR="00000000" w:rsidRPr="00000000">
        <w:rPr>
          <w:rFonts w:ascii="Salesforce Sans" w:cs="Salesforce Sans" w:eastAsia="Salesforce Sans" w:hAnsi="Salesforce Sans"/>
          <w:color w:val="666666"/>
          <w:sz w:val="28"/>
          <w:szCs w:val="28"/>
          <w:rtl w:val="0"/>
        </w:rPr>
        <w:t xml:space="preserve">Nikki Pallaras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color w:val="666666"/>
          <w:sz w:val="28"/>
          <w:szCs w:val="28"/>
        </w:rPr>
      </w:pPr>
      <w:r w:rsidDel="00000000" w:rsidR="00000000" w:rsidRPr="00000000">
        <w:rPr>
          <w:rFonts w:ascii="Salesforce Sans" w:cs="Salesforce Sans" w:eastAsia="Salesforce Sans" w:hAnsi="Salesforce Sans"/>
          <w:color w:val="666666"/>
          <w:sz w:val="28"/>
          <w:szCs w:val="28"/>
          <w:rtl w:val="0"/>
        </w:rPr>
        <w:t xml:space="preserve">Catherine Esselman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color w:val="666666"/>
          <w:sz w:val="28"/>
          <w:szCs w:val="28"/>
        </w:rPr>
      </w:pPr>
      <w:r w:rsidDel="00000000" w:rsidR="00000000" w:rsidRPr="00000000">
        <w:rPr>
          <w:rFonts w:ascii="Salesforce Sans" w:cs="Salesforce Sans" w:eastAsia="Salesforce Sans" w:hAnsi="Salesforce Sans"/>
          <w:color w:val="666666"/>
          <w:sz w:val="28"/>
          <w:szCs w:val="28"/>
          <w:rtl w:val="0"/>
        </w:rPr>
        <w:t xml:space="preserve">Leanne Schroeder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color w:val="666666"/>
          <w:sz w:val="28"/>
          <w:szCs w:val="28"/>
        </w:rPr>
      </w:pPr>
      <w:r w:rsidDel="00000000" w:rsidR="00000000" w:rsidRPr="00000000">
        <w:rPr>
          <w:rFonts w:ascii="Salesforce Sans" w:cs="Salesforce Sans" w:eastAsia="Salesforce Sans" w:hAnsi="Salesforce Sans"/>
          <w:color w:val="666666"/>
          <w:sz w:val="28"/>
          <w:szCs w:val="28"/>
          <w:rtl w:val="0"/>
        </w:rPr>
        <w:t xml:space="preserve">Liz Christenbury </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color w:val="666666"/>
          <w:sz w:val="28"/>
          <w:szCs w:val="28"/>
        </w:rPr>
      </w:pPr>
      <w:r w:rsidDel="00000000" w:rsidR="00000000" w:rsidRPr="00000000">
        <w:rPr>
          <w:rFonts w:ascii="Salesforce Sans" w:cs="Salesforce Sans" w:eastAsia="Salesforce Sans" w:hAnsi="Salesforce Sans"/>
          <w:color w:val="666666"/>
          <w:sz w:val="28"/>
          <w:szCs w:val="28"/>
          <w:rtl w:val="0"/>
        </w:rPr>
        <w:t xml:space="preserve">Samantha Schultz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color w:val="666666"/>
          <w:sz w:val="28"/>
          <w:szCs w:val="28"/>
        </w:rPr>
      </w:pPr>
      <w:r w:rsidDel="00000000" w:rsidR="00000000" w:rsidRPr="00000000">
        <w:rPr>
          <w:rFonts w:ascii="Salesforce Sans" w:cs="Salesforce Sans" w:eastAsia="Salesforce Sans" w:hAnsi="Salesforce Sans"/>
          <w:color w:val="666666"/>
          <w:sz w:val="28"/>
          <w:szCs w:val="28"/>
          <w:rtl w:val="0"/>
        </w:rPr>
        <w:t xml:space="preserve">Samantha Fried</w:t>
      </w:r>
      <w:r w:rsidDel="00000000" w:rsidR="00000000" w:rsidRPr="00000000">
        <w:rPr>
          <w:rtl w:val="0"/>
        </w:rPr>
      </w:r>
    </w:p>
    <w:p w:rsidR="00000000" w:rsidDel="00000000" w:rsidP="00000000" w:rsidRDefault="00000000" w:rsidRPr="00000000" w14:paraId="0000000E">
      <w:pPr>
        <w:pStyle w:val="Heading1"/>
        <w:pageBreakBefore w:val="0"/>
        <w:ind w:left="0" w:firstLine="0"/>
        <w:rPr>
          <w:rFonts w:ascii="Salesforce Sans" w:cs="Salesforce Sans" w:eastAsia="Salesforce Sans" w:hAnsi="Salesforce Sans"/>
          <w:color w:val="00a1e0"/>
        </w:rPr>
      </w:pPr>
      <w:bookmarkStart w:colFirst="0" w:colLast="0" w:name="_bxghxmmngyog" w:id="2"/>
      <w:bookmarkEnd w:id="2"/>
      <w:r w:rsidDel="00000000" w:rsidR="00000000" w:rsidRPr="00000000">
        <w:rPr>
          <w:rtl w:val="0"/>
        </w:rPr>
      </w:r>
    </w:p>
    <w:p w:rsidR="00000000" w:rsidDel="00000000" w:rsidP="00000000" w:rsidRDefault="00000000" w:rsidRPr="00000000" w14:paraId="0000000F">
      <w:pPr>
        <w:pageBreakBefore w:val="0"/>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10">
      <w:pPr>
        <w:pStyle w:val="Heading1"/>
        <w:pageBreakBefore w:val="0"/>
        <w:ind w:left="0" w:firstLine="0"/>
        <w:rPr>
          <w:rFonts w:ascii="Salesforce Sans" w:cs="Salesforce Sans" w:eastAsia="Salesforce Sans" w:hAnsi="Salesforce Sans"/>
          <w:color w:val="00a1e0"/>
        </w:rPr>
      </w:pPr>
      <w:bookmarkStart w:colFirst="0" w:colLast="0" w:name="_ajpy9eexljvc" w:id="3"/>
      <w:bookmarkEnd w:id="3"/>
      <w:r w:rsidDel="00000000" w:rsidR="00000000" w:rsidRPr="00000000">
        <w:rPr>
          <w:rFonts w:ascii="Salesforce Sans" w:cs="Salesforce Sans" w:eastAsia="Salesforce Sans" w:hAnsi="Salesforce Sans"/>
          <w:color w:val="00a1e0"/>
          <w:rtl w:val="0"/>
        </w:rPr>
        <w:t xml:space="preserve">Table of Contents </w:t>
      </w:r>
      <w:r w:rsidDel="00000000" w:rsidR="00000000" w:rsidRPr="00000000">
        <w:rPr>
          <w:rtl w:val="0"/>
        </w:rPr>
      </w:r>
    </w:p>
    <w:p w:rsidR="00000000" w:rsidDel="00000000" w:rsidP="00000000" w:rsidRDefault="00000000" w:rsidRPr="00000000" w14:paraId="00000011">
      <w:pPr>
        <w:rPr>
          <w:rFonts w:ascii="Salesforce Sans" w:cs="Salesforce Sans" w:eastAsia="Salesforce Sans" w:hAnsi="Salesforce Sans"/>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360"/>
            </w:tabs>
            <w:spacing w:before="80" w:line="240" w:lineRule="auto"/>
            <w:ind w:left="0" w:firstLine="0"/>
            <w:rPr>
              <w:rFonts w:ascii="Salesforce Sans" w:cs="Salesforce Sans" w:eastAsia="Salesforce Sans" w:hAnsi="Salesforce Sans"/>
              <w:b w:val="1"/>
              <w:i w:val="0"/>
              <w:smallCaps w:val="0"/>
              <w:strike w:val="0"/>
              <w:color w:val="00a1e0"/>
              <w:sz w:val="22"/>
              <w:szCs w:val="22"/>
              <w:u w:val="none"/>
              <w:shd w:fill="auto" w:val="clear"/>
              <w:vertAlign w:val="baseline"/>
            </w:rPr>
          </w:pPr>
          <w:r w:rsidDel="00000000" w:rsidR="00000000" w:rsidRPr="00000000">
            <w:fldChar w:fldCharType="begin"/>
            <w:instrText xml:space="preserve"> TOC \h \u \z </w:instrText>
            <w:fldChar w:fldCharType="separate"/>
          </w:r>
          <w:hyperlink w:anchor="_vxiwgpa8zsrb">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 xml:space="preserve">Accelerator for Patient Services Best Practice Guide</w:t>
            </w:r>
          </w:hyperlink>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_vxiwgpa8zsrb \h </w:instrText>
            <w:fldChar w:fldCharType="separate"/>
          </w:r>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Salesforce Sans" w:cs="Salesforce Sans" w:eastAsia="Salesforce Sans" w:hAnsi="Salesforce Sans"/>
              <w:b w:val="1"/>
              <w:i w:val="0"/>
              <w:smallCaps w:val="0"/>
              <w:strike w:val="0"/>
              <w:color w:val="00a1e0"/>
              <w:sz w:val="22"/>
              <w:szCs w:val="22"/>
              <w:u w:val="none"/>
              <w:shd w:fill="auto" w:val="clear"/>
              <w:vertAlign w:val="baseline"/>
            </w:rPr>
          </w:pPr>
          <w:hyperlink w:anchor="_ajpy9eexljvc">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 xml:space="preserve">Table of Contents</w:t>
            </w:r>
          </w:hyperlink>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_ajpy9eexljvc \h </w:instrText>
            <w:fldChar w:fldCharType="separate"/>
          </w:r>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Salesforce Sans" w:cs="Salesforce Sans" w:eastAsia="Salesforce Sans" w:hAnsi="Salesforce Sans"/>
              <w:b w:val="1"/>
              <w:i w:val="0"/>
              <w:smallCaps w:val="0"/>
              <w:strike w:val="0"/>
              <w:color w:val="00a1e0"/>
              <w:sz w:val="22"/>
              <w:szCs w:val="22"/>
              <w:u w:val="none"/>
              <w:shd w:fill="auto" w:val="clear"/>
              <w:vertAlign w:val="baseline"/>
            </w:rPr>
          </w:pPr>
          <w:hyperlink w:anchor="_r2ib0jjl8mfm">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 xml:space="preserve">Executive Summary</w:t>
            </w:r>
          </w:hyperlink>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_r2ib0jjl8mfm \h </w:instrText>
            <w:fldChar w:fldCharType="separate"/>
          </w:r>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Salesforce Sans" w:cs="Salesforce Sans" w:eastAsia="Salesforce Sans" w:hAnsi="Salesforce Sans"/>
              <w:b w:val="1"/>
              <w:i w:val="0"/>
              <w:smallCaps w:val="0"/>
              <w:strike w:val="0"/>
              <w:color w:val="00a1e0"/>
              <w:sz w:val="22"/>
              <w:szCs w:val="22"/>
              <w:u w:val="none"/>
              <w:shd w:fill="auto" w:val="clear"/>
              <w:vertAlign w:val="baseline"/>
            </w:rPr>
          </w:pPr>
          <w:hyperlink w:anchor="_91zs7glf7gnl">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 xml:space="preserve">Included Capabilities</w:t>
            </w:r>
          </w:hyperlink>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_91zs7glf7gnl \h </w:instrText>
            <w:fldChar w:fldCharType="separate"/>
          </w:r>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Salesforce Sans" w:cs="Salesforce Sans" w:eastAsia="Salesforce Sans" w:hAnsi="Salesforce Sans"/>
              <w:b w:val="1"/>
              <w:i w:val="0"/>
              <w:smallCaps w:val="0"/>
              <w:strike w:val="0"/>
              <w:color w:val="00a1e0"/>
              <w:sz w:val="22"/>
              <w:szCs w:val="22"/>
              <w:u w:val="none"/>
              <w:shd w:fill="auto" w:val="clear"/>
              <w:vertAlign w:val="baseline"/>
            </w:rPr>
          </w:pPr>
          <w:hyperlink w:anchor="_foqivplpxn5d">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 xml:space="preserve">Process Flow Diagram</w:t>
            </w:r>
          </w:hyperlink>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_foqivplpxn5d \h </w:instrText>
            <w:fldChar w:fldCharType="separate"/>
          </w:r>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1080" w:firstLine="0"/>
            <w:rPr>
              <w:rFonts w:ascii="Salesforce Sans" w:cs="Salesforce Sans" w:eastAsia="Salesforce Sans" w:hAnsi="Salesforce Sans"/>
              <w:b w:val="0"/>
              <w:i w:val="0"/>
              <w:smallCaps w:val="0"/>
              <w:strike w:val="0"/>
              <w:color w:val="00a1e0"/>
              <w:sz w:val="22"/>
              <w:szCs w:val="22"/>
              <w:u w:val="none"/>
              <w:shd w:fill="auto" w:val="clear"/>
              <w:vertAlign w:val="baseline"/>
            </w:rPr>
          </w:pPr>
          <w:hyperlink w:anchor="_r8bi6fnf0qzz">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Frequency of Software upgrades and Version Updates</w:t>
            </w:r>
          </w:hyperlink>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_r8bi6fnf0qzz \h </w:instrText>
            <w:fldChar w:fldCharType="separate"/>
          </w:r>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Salesforce Sans" w:cs="Salesforce Sans" w:eastAsia="Salesforce Sans" w:hAnsi="Salesforce Sans"/>
              <w:b w:val="1"/>
              <w:i w:val="0"/>
              <w:smallCaps w:val="0"/>
              <w:strike w:val="0"/>
              <w:color w:val="00a1e0"/>
              <w:sz w:val="22"/>
              <w:szCs w:val="22"/>
              <w:u w:val="none"/>
              <w:shd w:fill="auto" w:val="clear"/>
              <w:vertAlign w:val="baseline"/>
            </w:rPr>
          </w:pPr>
          <w:hyperlink w:anchor="_ktgwmqe2xm2q">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 xml:space="preserve">Use Case Scenario</w:t>
            </w:r>
          </w:hyperlink>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_ktgwmqe2xm2q \h </w:instrText>
            <w:fldChar w:fldCharType="separate"/>
          </w:r>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Salesforce Sans" w:cs="Salesforce Sans" w:eastAsia="Salesforce Sans" w:hAnsi="Salesforce Sans"/>
              <w:b w:val="1"/>
              <w:i w:val="0"/>
              <w:smallCaps w:val="0"/>
              <w:strike w:val="0"/>
              <w:color w:val="00a1e0"/>
              <w:sz w:val="22"/>
              <w:szCs w:val="22"/>
              <w:u w:val="none"/>
              <w:shd w:fill="auto" w:val="clear"/>
              <w:vertAlign w:val="baseline"/>
            </w:rPr>
          </w:pPr>
          <w:hyperlink w:anchor="_o0fquc5irnm0">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 xml:space="preserve">Best Practices: Recommendations for Configuration</w:t>
            </w:r>
          </w:hyperlink>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_o0fquc5irnm0 \h </w:instrText>
            <w:fldChar w:fldCharType="separate"/>
          </w:r>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1080" w:firstLine="0"/>
            <w:rPr>
              <w:rFonts w:ascii="Salesforce Sans" w:cs="Salesforce Sans" w:eastAsia="Salesforce Sans" w:hAnsi="Salesforce Sans"/>
              <w:b w:val="0"/>
              <w:i w:val="0"/>
              <w:smallCaps w:val="0"/>
              <w:strike w:val="0"/>
              <w:color w:val="00a1e0"/>
              <w:sz w:val="22"/>
              <w:szCs w:val="22"/>
              <w:u w:val="none"/>
              <w:shd w:fill="auto" w:val="clear"/>
              <w:vertAlign w:val="baseline"/>
            </w:rPr>
          </w:pPr>
          <w:hyperlink w:anchor="_mj0jajqq2u33">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Installation Guide</w:t>
            </w:r>
          </w:hyperlink>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_mj0jajqq2u33 \h </w:instrText>
            <w:fldChar w:fldCharType="separate"/>
          </w:r>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1080" w:firstLine="0"/>
            <w:rPr>
              <w:rFonts w:ascii="Salesforce Sans" w:cs="Salesforce Sans" w:eastAsia="Salesforce Sans" w:hAnsi="Salesforce Sans"/>
              <w:b w:val="0"/>
              <w:i w:val="0"/>
              <w:smallCaps w:val="0"/>
              <w:strike w:val="0"/>
              <w:color w:val="00a1e0"/>
              <w:sz w:val="22"/>
              <w:szCs w:val="22"/>
              <w:u w:val="none"/>
              <w:shd w:fill="auto" w:val="clear"/>
              <w:vertAlign w:val="baseline"/>
            </w:rPr>
          </w:pPr>
          <w:hyperlink w:anchor="_5060q7drqpp">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Integration</w:t>
            </w:r>
          </w:hyperlink>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_5060q7drqpp \h </w:instrText>
            <w:fldChar w:fldCharType="separate"/>
          </w:r>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1080" w:firstLine="0"/>
            <w:rPr>
              <w:rFonts w:ascii="Salesforce Sans" w:cs="Salesforce Sans" w:eastAsia="Salesforce Sans" w:hAnsi="Salesforce Sans"/>
              <w:b w:val="0"/>
              <w:i w:val="0"/>
              <w:smallCaps w:val="0"/>
              <w:strike w:val="0"/>
              <w:color w:val="00a1e0"/>
              <w:sz w:val="22"/>
              <w:szCs w:val="22"/>
              <w:u w:val="none"/>
              <w:shd w:fill="auto" w:val="clear"/>
              <w:vertAlign w:val="baseline"/>
            </w:rPr>
          </w:pPr>
          <w:hyperlink w:anchor="_bc4t35hycz7n">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Modeling Providers</w:t>
            </w:r>
          </w:hyperlink>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_bc4t35hycz7n \h </w:instrText>
            <w:fldChar w:fldCharType="separate"/>
          </w:r>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1080" w:firstLine="0"/>
            <w:rPr>
              <w:rFonts w:ascii="Salesforce Sans" w:cs="Salesforce Sans" w:eastAsia="Salesforce Sans" w:hAnsi="Salesforce Sans"/>
              <w:b w:val="0"/>
              <w:i w:val="0"/>
              <w:smallCaps w:val="0"/>
              <w:strike w:val="0"/>
              <w:color w:val="00a1e0"/>
              <w:sz w:val="22"/>
              <w:szCs w:val="22"/>
              <w:u w:val="none"/>
              <w:shd w:fill="auto" w:val="clear"/>
              <w:vertAlign w:val="baseline"/>
            </w:rPr>
          </w:pPr>
          <w:hyperlink w:anchor="_pejq5ewx7ev3">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Modeling Patients</w:t>
            </w:r>
          </w:hyperlink>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_pejq5ewx7ev3 \h </w:instrText>
            <w:fldChar w:fldCharType="separate"/>
          </w:r>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1080" w:firstLine="0"/>
            <w:rPr>
              <w:rFonts w:ascii="Salesforce Sans" w:cs="Salesforce Sans" w:eastAsia="Salesforce Sans" w:hAnsi="Salesforce Sans"/>
              <w:b w:val="0"/>
              <w:i w:val="0"/>
              <w:smallCaps w:val="0"/>
              <w:strike w:val="0"/>
              <w:color w:val="00a1e0"/>
              <w:sz w:val="22"/>
              <w:szCs w:val="22"/>
              <w:u w:val="none"/>
              <w:shd w:fill="auto" w:val="clear"/>
              <w:vertAlign w:val="baseline"/>
            </w:rPr>
          </w:pPr>
          <w:hyperlink w:anchor="_jgonyqb2bvsw">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Decision Table and Additional Considerations</w:t>
            </w:r>
          </w:hyperlink>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_jgonyqb2bvsw \h </w:instrText>
            <w:fldChar w:fldCharType="separate"/>
          </w:r>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1080" w:firstLine="0"/>
            <w:rPr>
              <w:rFonts w:ascii="Salesforce Sans" w:cs="Salesforce Sans" w:eastAsia="Salesforce Sans" w:hAnsi="Salesforce Sans"/>
              <w:b w:val="0"/>
              <w:i w:val="0"/>
              <w:smallCaps w:val="0"/>
              <w:strike w:val="0"/>
              <w:color w:val="00a1e0"/>
              <w:sz w:val="22"/>
              <w:szCs w:val="22"/>
              <w:u w:val="none"/>
              <w:shd w:fill="auto" w:val="clear"/>
              <w:vertAlign w:val="baseline"/>
            </w:rPr>
          </w:pPr>
          <w:hyperlink w:anchor="_icihym10e4e8">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Previous Modeling of Providers</w:t>
            </w:r>
          </w:hyperlink>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_icihym10e4e8 \h </w:instrText>
            <w:fldChar w:fldCharType="separate"/>
          </w:r>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1080" w:firstLine="0"/>
            <w:rPr>
              <w:rFonts w:ascii="Salesforce Sans" w:cs="Salesforce Sans" w:eastAsia="Salesforce Sans" w:hAnsi="Salesforce Sans"/>
              <w:b w:val="0"/>
              <w:i w:val="0"/>
              <w:smallCaps w:val="0"/>
              <w:strike w:val="0"/>
              <w:color w:val="00a1e0"/>
              <w:sz w:val="22"/>
              <w:szCs w:val="22"/>
              <w:u w:val="none"/>
              <w:shd w:fill="auto" w:val="clear"/>
              <w:vertAlign w:val="baseline"/>
            </w:rPr>
          </w:pPr>
          <w:hyperlink w:anchor="_cxc2vzur9pxk">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Timeline</w:t>
            </w:r>
          </w:hyperlink>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_cxc2vzur9pxk \h </w:instrText>
            <w:fldChar w:fldCharType="separate"/>
          </w:r>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1080" w:firstLine="0"/>
            <w:rPr>
              <w:rFonts w:ascii="Salesforce Sans" w:cs="Salesforce Sans" w:eastAsia="Salesforce Sans" w:hAnsi="Salesforce Sans"/>
              <w:b w:val="0"/>
              <w:i w:val="0"/>
              <w:smallCaps w:val="0"/>
              <w:strike w:val="0"/>
              <w:color w:val="00a1e0"/>
              <w:sz w:val="22"/>
              <w:szCs w:val="22"/>
              <w:u w:val="none"/>
              <w:shd w:fill="auto" w:val="clear"/>
              <w:vertAlign w:val="baseline"/>
            </w:rPr>
          </w:pPr>
          <w:hyperlink w:anchor="_9a2xvpfpoh5m">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Providers as Individual Entities</w:t>
            </w:r>
          </w:hyperlink>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_9a2xvpfpoh5m \h </w:instrText>
            <w:fldChar w:fldCharType="separate"/>
          </w:r>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1080" w:firstLine="0"/>
            <w:rPr>
              <w:rFonts w:ascii="Salesforce Sans" w:cs="Salesforce Sans" w:eastAsia="Salesforce Sans" w:hAnsi="Salesforce Sans"/>
              <w:b w:val="0"/>
              <w:i w:val="0"/>
              <w:smallCaps w:val="0"/>
              <w:strike w:val="0"/>
              <w:color w:val="00a1e0"/>
              <w:sz w:val="22"/>
              <w:szCs w:val="22"/>
              <w:u w:val="none"/>
              <w:shd w:fill="auto" w:val="clear"/>
              <w:vertAlign w:val="baseline"/>
            </w:rPr>
          </w:pPr>
          <w:hyperlink w:anchor="_x4ip4cots1sz">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Providers and Care Programs</w:t>
            </w:r>
          </w:hyperlink>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_x4ip4cots1sz \h </w:instrText>
            <w:fldChar w:fldCharType="separate"/>
          </w:r>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1080" w:firstLine="0"/>
            <w:rPr>
              <w:rFonts w:ascii="Salesforce Sans" w:cs="Salesforce Sans" w:eastAsia="Salesforce Sans" w:hAnsi="Salesforce Sans"/>
              <w:b w:val="0"/>
              <w:i w:val="0"/>
              <w:smallCaps w:val="0"/>
              <w:strike w:val="0"/>
              <w:color w:val="00a1e0"/>
              <w:sz w:val="22"/>
              <w:szCs w:val="22"/>
              <w:u w:val="none"/>
              <w:shd w:fill="auto" w:val="clear"/>
              <w:vertAlign w:val="baseline"/>
            </w:rPr>
          </w:pPr>
          <w:hyperlink w:anchor="_7p4uxovsj0wm">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Security + Data Storage</w:t>
            </w:r>
          </w:hyperlink>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_7p4uxovsj0wm \h </w:instrText>
            <w:fldChar w:fldCharType="separate"/>
          </w:r>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1080" w:firstLine="0"/>
            <w:rPr>
              <w:rFonts w:ascii="Salesforce Sans" w:cs="Salesforce Sans" w:eastAsia="Salesforce Sans" w:hAnsi="Salesforce Sans"/>
              <w:b w:val="0"/>
              <w:i w:val="0"/>
              <w:smallCaps w:val="0"/>
              <w:strike w:val="0"/>
              <w:color w:val="00a1e0"/>
              <w:sz w:val="22"/>
              <w:szCs w:val="22"/>
              <w:u w:val="none"/>
              <w:shd w:fill="auto" w:val="clear"/>
              <w:vertAlign w:val="baseline"/>
            </w:rPr>
          </w:pPr>
          <w:hyperlink w:anchor="_yi823imesjqs">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Managing Relationships</w:t>
            </w:r>
          </w:hyperlink>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_yi823imesjqs \h </w:instrText>
            <w:fldChar w:fldCharType="separate"/>
          </w:r>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1080" w:firstLine="0"/>
            <w:rPr>
              <w:rFonts w:ascii="Salesforce Sans" w:cs="Salesforce Sans" w:eastAsia="Salesforce Sans" w:hAnsi="Salesforce Sans"/>
              <w:b w:val="0"/>
              <w:i w:val="0"/>
              <w:smallCaps w:val="0"/>
              <w:strike w:val="0"/>
              <w:color w:val="00a1e0"/>
              <w:sz w:val="22"/>
              <w:szCs w:val="22"/>
              <w:u w:val="none"/>
              <w:shd w:fill="auto" w:val="clear"/>
              <w:vertAlign w:val="baseline"/>
            </w:rPr>
          </w:pPr>
          <w:hyperlink w:anchor="_eo5uma2g4swn">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Assessments Considerations</w:t>
            </w:r>
          </w:hyperlink>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_eo5uma2g4swn \h </w:instrText>
            <w:fldChar w:fldCharType="separate"/>
          </w:r>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1080" w:firstLine="0"/>
            <w:rPr>
              <w:rFonts w:ascii="Salesforce Sans" w:cs="Salesforce Sans" w:eastAsia="Salesforce Sans" w:hAnsi="Salesforce Sans"/>
              <w:b w:val="0"/>
              <w:i w:val="0"/>
              <w:smallCaps w:val="0"/>
              <w:strike w:val="0"/>
              <w:color w:val="00a1e0"/>
              <w:sz w:val="22"/>
              <w:szCs w:val="22"/>
              <w:u w:val="none"/>
              <w:shd w:fill="auto" w:val="clear"/>
              <w:vertAlign w:val="baseline"/>
            </w:rPr>
          </w:pPr>
          <w:hyperlink w:anchor="_3i6onj5varn2">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Assessment Feature Matrix</w:t>
            </w:r>
          </w:hyperlink>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_3i6onj5varn2 \h </w:instrText>
            <w:fldChar w:fldCharType="separate"/>
          </w:r>
          <w:r w:rsidDel="00000000" w:rsidR="00000000" w:rsidRPr="00000000">
            <w:rPr>
              <w:rFonts w:ascii="Salesforce Sans" w:cs="Salesforce Sans" w:eastAsia="Salesforce Sans" w:hAnsi="Salesforce Sans"/>
              <w:b w:val="0"/>
              <w:i w:val="0"/>
              <w:smallCaps w:val="0"/>
              <w:strike w:val="0"/>
              <w:color w:val="00a1e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after="80" w:before="200" w:line="240" w:lineRule="auto"/>
            <w:ind w:left="0" w:firstLine="0"/>
            <w:rPr>
              <w:rFonts w:ascii="Salesforce Sans" w:cs="Salesforce Sans" w:eastAsia="Salesforce Sans" w:hAnsi="Salesforce Sans"/>
              <w:b w:val="1"/>
              <w:i w:val="0"/>
              <w:smallCaps w:val="0"/>
              <w:strike w:val="0"/>
              <w:color w:val="00a1e0"/>
              <w:sz w:val="22"/>
              <w:szCs w:val="22"/>
              <w:u w:val="none"/>
              <w:shd w:fill="auto" w:val="clear"/>
              <w:vertAlign w:val="baseline"/>
            </w:rPr>
          </w:pPr>
          <w:hyperlink w:anchor="_iy5ftg7g35lv">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 xml:space="preserve">Supporting Documentation</w:t>
            </w:r>
          </w:hyperlink>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ab/>
          </w:r>
          <w:r w:rsidDel="00000000" w:rsidR="00000000" w:rsidRPr="00000000">
            <w:fldChar w:fldCharType="begin"/>
            <w:instrText xml:space="preserve"> PAGEREF _iy5ftg7g35lv \h </w:instrText>
            <w:fldChar w:fldCharType="separate"/>
          </w:r>
          <w:r w:rsidDel="00000000" w:rsidR="00000000" w:rsidRPr="00000000">
            <w:rPr>
              <w:rFonts w:ascii="Salesforce Sans" w:cs="Salesforce Sans" w:eastAsia="Salesforce Sans" w:hAnsi="Salesforce Sans"/>
              <w:b w:val="1"/>
              <w:i w:val="0"/>
              <w:smallCaps w:val="0"/>
              <w:strike w:val="0"/>
              <w:color w:val="00a1e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29">
      <w:pPr>
        <w:pageBreakBefore w:val="0"/>
        <w:ind w:left="0" w:firstLine="0"/>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2A">
      <w:pPr>
        <w:pStyle w:val="Heading1"/>
        <w:keepNext w:val="0"/>
        <w:keepLines w:val="0"/>
        <w:pageBreakBefore w:val="0"/>
        <w:numPr>
          <w:ilvl w:val="0"/>
          <w:numId w:val="11"/>
        </w:numPr>
        <w:spacing w:after="120" w:before="480" w:line="276" w:lineRule="auto"/>
        <w:ind w:firstLine="360"/>
        <w:rPr>
          <w:rFonts w:ascii="Salesforce Sans" w:cs="Salesforce Sans" w:eastAsia="Salesforce Sans" w:hAnsi="Salesforce Sans"/>
          <w:color w:val="00a1e0"/>
        </w:rPr>
      </w:pPr>
      <w:bookmarkStart w:colFirst="0" w:colLast="0" w:name="_r2ib0jjl8mfm" w:id="4"/>
      <w:bookmarkEnd w:id="4"/>
      <w:r w:rsidDel="00000000" w:rsidR="00000000" w:rsidRPr="00000000">
        <w:rPr>
          <w:rFonts w:ascii="Salesforce Sans" w:cs="Salesforce Sans" w:eastAsia="Salesforce Sans" w:hAnsi="Salesforce Sans"/>
          <w:color w:val="00a1e0"/>
          <w:rtl w:val="0"/>
        </w:rPr>
        <w:t xml:space="preserve">Exec</w:t>
      </w:r>
      <w:r w:rsidDel="00000000" w:rsidR="00000000" w:rsidRPr="00000000">
        <w:rPr>
          <w:rFonts w:ascii="Salesforce Sans" w:cs="Salesforce Sans" w:eastAsia="Salesforce Sans" w:hAnsi="Salesforce Sans"/>
          <w:color w:val="00a1e0"/>
          <w:rtl w:val="0"/>
        </w:rPr>
        <w:t xml:space="preserve">utive Summary</w:t>
      </w:r>
      <w:r w:rsidDel="00000000" w:rsidR="00000000" w:rsidRPr="00000000">
        <w:rPr>
          <w:rtl w:val="0"/>
        </w:rPr>
      </w:r>
    </w:p>
    <w:p w:rsidR="00000000" w:rsidDel="00000000" w:rsidP="00000000" w:rsidRDefault="00000000" w:rsidRPr="00000000" w14:paraId="0000002B">
      <w:pPr>
        <w:pageBreakBefore w:val="0"/>
        <w:ind w:left="0" w:firstLine="0"/>
        <w:jc w:val="both"/>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Contact Center App Accelerator for Health Cloud for provides</w:t>
      </w:r>
      <w:r w:rsidDel="00000000" w:rsidR="00000000" w:rsidRPr="00000000">
        <w:rPr>
          <w:rFonts w:ascii="Salesforce Sans" w:cs="Salesforce Sans" w:eastAsia="Salesforce Sans" w:hAnsi="Salesforce Sans"/>
          <w:rtl w:val="0"/>
        </w:rPr>
        <w:t xml:space="preserve"> a </w:t>
      </w:r>
      <w:r w:rsidDel="00000000" w:rsidR="00000000" w:rsidRPr="00000000">
        <w:rPr>
          <w:rFonts w:ascii="Salesforce Sans" w:cs="Salesforce Sans" w:eastAsia="Salesforce Sans" w:hAnsi="Salesforce Sans"/>
          <w:b w:val="1"/>
          <w:rtl w:val="0"/>
        </w:rPr>
        <w:t xml:space="preserve">comprehensive, scalable solution that meets the broad needs </w:t>
      </w:r>
      <w:r w:rsidDel="00000000" w:rsidR="00000000" w:rsidRPr="00000000">
        <w:rPr>
          <w:rFonts w:ascii="Salesforce Sans" w:cs="Salesforce Sans" w:eastAsia="Salesforce Sans" w:hAnsi="Salesforce Sans"/>
          <w:rtl w:val="0"/>
        </w:rPr>
        <w:t xml:space="preserve">of small and large patient services centers, enabling the services team to efficiently and effectively serve patients while managing their staffing needs</w:t>
      </w:r>
      <w:r w:rsidDel="00000000" w:rsidR="00000000" w:rsidRPr="00000000">
        <w:rPr>
          <w:rFonts w:ascii="Salesforce Sans" w:cs="Salesforce Sans" w:eastAsia="Salesforce Sans" w:hAnsi="Salesforce Sans"/>
          <w:b w:val="1"/>
          <w:color w:val="000000"/>
          <w:rtl w:val="0"/>
        </w:rPr>
        <w:t xml:space="preserve">.</w:t>
      </w:r>
      <w:r w:rsidDel="00000000" w:rsidR="00000000" w:rsidRPr="00000000">
        <w:rPr>
          <w:rFonts w:ascii="Salesforce Sans" w:cs="Salesforce Sans" w:eastAsia="Salesforce Sans" w:hAnsi="Salesforce Sans"/>
          <w:color w:val="000000"/>
          <w:rtl w:val="0"/>
        </w:rPr>
        <w:t xml:space="preserve">  </w:t>
      </w:r>
      <w:r w:rsidDel="00000000" w:rsidR="00000000" w:rsidRPr="00000000">
        <w:rPr>
          <w:rtl w:val="0"/>
        </w:rPr>
      </w:r>
    </w:p>
    <w:p w:rsidR="00000000" w:rsidDel="00000000" w:rsidP="00000000" w:rsidRDefault="00000000" w:rsidRPr="00000000" w14:paraId="0000002C">
      <w:pPr>
        <w:pageBreakBefore w:val="0"/>
        <w:ind w:left="0" w:firstLine="0"/>
        <w:jc w:val="both"/>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2D">
      <w:pPr>
        <w:pageBreakBefore w:val="0"/>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Pr>
        <w:drawing>
          <wp:inline distB="114300" distT="114300" distL="114300" distR="114300">
            <wp:extent cx="5943600" cy="2235200"/>
            <wp:effectExtent b="0" l="0" r="0" t="0"/>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ind w:left="0" w:firstLine="0"/>
        <w:jc w:val="center"/>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2F">
      <w:pPr>
        <w:pStyle w:val="Heading1"/>
        <w:pageBreakBefore w:val="0"/>
        <w:numPr>
          <w:ilvl w:val="0"/>
          <w:numId w:val="11"/>
        </w:numPr>
        <w:spacing w:after="40" w:before="200" w:line="276" w:lineRule="auto"/>
        <w:ind w:firstLine="360"/>
        <w:rPr>
          <w:rFonts w:ascii="Salesforce Sans" w:cs="Salesforce Sans" w:eastAsia="Salesforce Sans" w:hAnsi="Salesforce Sans"/>
          <w:color w:val="00a1e0"/>
        </w:rPr>
      </w:pPr>
      <w:bookmarkStart w:colFirst="0" w:colLast="0" w:name="_91zs7glf7gnl" w:id="5"/>
      <w:bookmarkEnd w:id="5"/>
      <w:r w:rsidDel="00000000" w:rsidR="00000000" w:rsidRPr="00000000">
        <w:rPr>
          <w:rFonts w:ascii="Salesforce Sans" w:cs="Salesforce Sans" w:eastAsia="Salesforce Sans" w:hAnsi="Salesforce Sans"/>
          <w:color w:val="00a1e0"/>
          <w:rtl w:val="0"/>
        </w:rPr>
        <w:t xml:space="preserve">Included Capabilities </w:t>
      </w:r>
    </w:p>
    <w:p w:rsidR="00000000" w:rsidDel="00000000" w:rsidP="00000000" w:rsidRDefault="00000000" w:rsidRPr="00000000" w14:paraId="00000030">
      <w:pPr>
        <w:spacing w:after="0" w:lineRule="auto"/>
        <w:ind w:left="0" w:firstLine="0"/>
        <w:jc w:val="both"/>
        <w:rPr>
          <w:rFonts w:ascii="Salesforce Sans" w:cs="Salesforce Sans" w:eastAsia="Salesforce Sans" w:hAnsi="Salesforce Sans"/>
        </w:rPr>
      </w:pPr>
      <w:r w:rsidDel="00000000" w:rsidR="00000000" w:rsidRPr="00000000">
        <w:rPr>
          <w:rFonts w:ascii="Salesforce Sans" w:cs="Salesforce Sans" w:eastAsia="Salesforce Sans" w:hAnsi="Salesforce Sans"/>
        </w:rPr>
        <w:drawing>
          <wp:inline distB="114300" distT="114300" distL="114300" distR="114300">
            <wp:extent cx="5943600" cy="3352800"/>
            <wp:effectExtent b="0" l="0" r="0" t="0"/>
            <wp:docPr id="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0" w:lineRule="auto"/>
        <w:ind w:left="0" w:firstLine="0"/>
        <w:jc w:val="both"/>
        <w:rPr>
          <w:rFonts w:ascii="Salesforce Sans" w:cs="Salesforce Sans" w:eastAsia="Salesforce Sans" w:hAnsi="Salesforce Sans"/>
        </w:rPr>
      </w:pPr>
      <w:r w:rsidDel="00000000" w:rsidR="00000000" w:rsidRPr="00000000">
        <w:rPr>
          <w:rFonts w:ascii="Salesforce Sans" w:cs="Salesforce Sans" w:eastAsia="Salesforce Sans" w:hAnsi="Salesforce Sans"/>
        </w:rPr>
        <w:drawing>
          <wp:inline distB="114300" distT="114300" distL="114300" distR="114300">
            <wp:extent cx="5943600" cy="3365500"/>
            <wp:effectExtent b="0" l="0" r="0" t="0"/>
            <wp:docPr id="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33">
      <w:pPr>
        <w:spacing w:after="0" w:lineRule="auto"/>
        <w:ind w:left="0" w:firstLine="0"/>
        <w:jc w:val="both"/>
        <w:rPr>
          <w:rFonts w:ascii="Salesforce Sans" w:cs="Salesforce Sans" w:eastAsia="Salesforce Sans" w:hAnsi="Salesforce Sans"/>
          <w:color w:val="2b303b"/>
          <w:highlight w:val="white"/>
        </w:rPr>
      </w:pPr>
      <w:r w:rsidDel="00000000" w:rsidR="00000000" w:rsidRPr="00000000">
        <w:rPr>
          <w:rtl w:val="0"/>
        </w:rPr>
      </w:r>
    </w:p>
    <w:p w:rsidR="00000000" w:rsidDel="00000000" w:rsidP="00000000" w:rsidRDefault="00000000" w:rsidRPr="00000000" w14:paraId="00000034">
      <w:pPr>
        <w:numPr>
          <w:ilvl w:val="0"/>
          <w:numId w:val="7"/>
        </w:numPr>
        <w:spacing w:after="0" w:afterAutospacing="0" w:before="240" w:lineRule="auto"/>
        <w:ind w:firstLine="360"/>
        <w:rPr>
          <w:rFonts w:ascii="Salesforce Sans" w:cs="Salesforce Sans" w:eastAsia="Salesforce Sans" w:hAnsi="Salesforce Sans"/>
          <w:color w:val="2b303b"/>
          <w:highlight w:val="white"/>
        </w:rPr>
      </w:pPr>
      <w:r w:rsidDel="00000000" w:rsidR="00000000" w:rsidRPr="00000000">
        <w:rPr>
          <w:rFonts w:ascii="Salesforce Sans" w:cs="Salesforce Sans" w:eastAsia="Salesforce Sans" w:hAnsi="Salesforce Sans"/>
          <w:b w:val="1"/>
          <w:color w:val="2b303b"/>
          <w:highlight w:val="white"/>
          <w:rtl w:val="0"/>
        </w:rPr>
        <w:t xml:space="preserve">Complete Patient View: </w:t>
      </w:r>
      <w:r w:rsidDel="00000000" w:rsidR="00000000" w:rsidRPr="00000000">
        <w:rPr>
          <w:rFonts w:ascii="Salesforce Sans" w:cs="Salesforce Sans" w:eastAsia="Salesforce Sans" w:hAnsi="Salesforce Sans"/>
          <w:color w:val="2b303b"/>
          <w:highlight w:val="white"/>
          <w:rtl w:val="0"/>
        </w:rPr>
        <w:t xml:space="preserve">Features such as Health Timeline, Patient and Member Profile (including integration with EHR data as an add-on), Care Team Map and Household Map provide a complete view of the patient.</w:t>
      </w:r>
    </w:p>
    <w:p w:rsidR="00000000" w:rsidDel="00000000" w:rsidP="00000000" w:rsidRDefault="00000000" w:rsidRPr="00000000" w14:paraId="00000035">
      <w:pPr>
        <w:numPr>
          <w:ilvl w:val="0"/>
          <w:numId w:val="7"/>
        </w:numPr>
        <w:spacing w:after="0" w:afterAutospacing="0" w:before="0" w:beforeAutospacing="0" w:lineRule="auto"/>
        <w:ind w:firstLine="360"/>
        <w:rPr>
          <w:rFonts w:ascii="Salesforce Sans" w:cs="Salesforce Sans" w:eastAsia="Salesforce Sans" w:hAnsi="Salesforce Sans"/>
          <w:color w:val="2b303b"/>
          <w:highlight w:val="white"/>
        </w:rPr>
      </w:pPr>
      <w:r w:rsidDel="00000000" w:rsidR="00000000" w:rsidRPr="00000000">
        <w:rPr>
          <w:rFonts w:ascii="Salesforce Sans" w:cs="Salesforce Sans" w:eastAsia="Salesforce Sans" w:hAnsi="Salesforce Sans"/>
          <w:b w:val="1"/>
          <w:color w:val="2b303b"/>
          <w:highlight w:val="white"/>
          <w:rtl w:val="0"/>
        </w:rPr>
        <w:t xml:space="preserve">Intelligent Task Management: </w:t>
      </w:r>
      <w:r w:rsidDel="00000000" w:rsidR="00000000" w:rsidRPr="00000000">
        <w:rPr>
          <w:rFonts w:ascii="Salesforce Sans" w:cs="Salesforce Sans" w:eastAsia="Salesforce Sans" w:hAnsi="Salesforce Sans"/>
          <w:color w:val="2b303b"/>
          <w:highlight w:val="white"/>
          <w:rtl w:val="0"/>
        </w:rPr>
        <w:t xml:space="preserve">V</w:t>
      </w:r>
      <w:r w:rsidDel="00000000" w:rsidR="00000000" w:rsidRPr="00000000">
        <w:rPr>
          <w:rFonts w:ascii="Salesforce Sans" w:cs="Salesforce Sans" w:eastAsia="Salesforce Sans" w:hAnsi="Salesforce Sans"/>
          <w:color w:val="2b303b"/>
          <w:highlight w:val="white"/>
          <w:rtl w:val="0"/>
        </w:rPr>
        <w:t xml:space="preserve">iew of follow up items and task status.</w:t>
      </w:r>
    </w:p>
    <w:p w:rsidR="00000000" w:rsidDel="00000000" w:rsidP="00000000" w:rsidRDefault="00000000" w:rsidRPr="00000000" w14:paraId="00000036">
      <w:pPr>
        <w:numPr>
          <w:ilvl w:val="0"/>
          <w:numId w:val="7"/>
        </w:numPr>
        <w:spacing w:after="0" w:afterAutospacing="0" w:before="0" w:beforeAutospacing="0" w:lineRule="auto"/>
        <w:ind w:firstLine="360"/>
        <w:rPr>
          <w:rFonts w:ascii="Salesforce Sans" w:cs="Salesforce Sans" w:eastAsia="Salesforce Sans" w:hAnsi="Salesforce Sans"/>
          <w:color w:val="2b303b"/>
          <w:highlight w:val="white"/>
        </w:rPr>
      </w:pPr>
      <w:r w:rsidDel="00000000" w:rsidR="00000000" w:rsidRPr="00000000">
        <w:rPr>
          <w:rFonts w:ascii="Salesforce Sans" w:cs="Salesforce Sans" w:eastAsia="Salesforce Sans" w:hAnsi="Salesforce Sans"/>
          <w:b w:val="1"/>
          <w:color w:val="2b303b"/>
          <w:highlight w:val="white"/>
          <w:rtl w:val="0"/>
        </w:rPr>
        <w:t xml:space="preserve">Assessments</w:t>
      </w:r>
      <w:r w:rsidDel="00000000" w:rsidR="00000000" w:rsidRPr="00000000">
        <w:rPr>
          <w:rFonts w:ascii="Salesforce Sans" w:cs="Salesforce Sans" w:eastAsia="Salesforce Sans" w:hAnsi="Salesforce Sans"/>
          <w:color w:val="2b303b"/>
          <w:highlight w:val="white"/>
          <w:rtl w:val="0"/>
        </w:rPr>
        <w:t xml:space="preserve">: Provides survey functionality for collecting feedback and data from patients</w:t>
      </w:r>
    </w:p>
    <w:p w:rsidR="00000000" w:rsidDel="00000000" w:rsidP="00000000" w:rsidRDefault="00000000" w:rsidRPr="00000000" w14:paraId="00000037">
      <w:pPr>
        <w:numPr>
          <w:ilvl w:val="0"/>
          <w:numId w:val="7"/>
        </w:numPr>
        <w:spacing w:after="0" w:afterAutospacing="0" w:before="0" w:beforeAutospacing="0" w:lineRule="auto"/>
        <w:ind w:firstLine="360"/>
        <w:rPr>
          <w:rFonts w:ascii="Salesforce Sans" w:cs="Salesforce Sans" w:eastAsia="Salesforce Sans" w:hAnsi="Salesforce Sans"/>
          <w:color w:val="2b303b"/>
          <w:highlight w:val="white"/>
        </w:rPr>
      </w:pPr>
      <w:r w:rsidDel="00000000" w:rsidR="00000000" w:rsidRPr="00000000">
        <w:rPr>
          <w:rFonts w:ascii="Salesforce Sans" w:cs="Salesforce Sans" w:eastAsia="Salesforce Sans" w:hAnsi="Salesforce Sans"/>
          <w:b w:val="1"/>
          <w:color w:val="2b303b"/>
          <w:highlight w:val="white"/>
          <w:rtl w:val="0"/>
        </w:rPr>
        <w:t xml:space="preserve">Knowledge:</w:t>
      </w:r>
      <w:r w:rsidDel="00000000" w:rsidR="00000000" w:rsidRPr="00000000">
        <w:rPr>
          <w:rFonts w:ascii="Salesforce Sans" w:cs="Salesforce Sans" w:eastAsia="Salesforce Sans" w:hAnsi="Salesforce Sans"/>
          <w:color w:val="2b303b"/>
          <w:highlight w:val="white"/>
          <w:rtl w:val="0"/>
        </w:rPr>
        <w:t xml:space="preserve"> Provide internal education, process information and/or education to Patients/Members</w:t>
      </w:r>
    </w:p>
    <w:p w:rsidR="00000000" w:rsidDel="00000000" w:rsidP="00000000" w:rsidRDefault="00000000" w:rsidRPr="00000000" w14:paraId="00000038">
      <w:pPr>
        <w:numPr>
          <w:ilvl w:val="0"/>
          <w:numId w:val="7"/>
        </w:numPr>
        <w:spacing w:after="240" w:before="0" w:beforeAutospacing="0" w:lineRule="auto"/>
        <w:ind w:firstLine="360"/>
        <w:rPr>
          <w:rFonts w:ascii="Salesforce Sans" w:cs="Salesforce Sans" w:eastAsia="Salesforce Sans" w:hAnsi="Salesforce Sans"/>
          <w:color w:val="2b303b"/>
          <w:highlight w:val="white"/>
        </w:rPr>
      </w:pPr>
      <w:r w:rsidDel="00000000" w:rsidR="00000000" w:rsidRPr="00000000">
        <w:rPr>
          <w:rFonts w:ascii="Salesforce Sans" w:cs="Salesforce Sans" w:eastAsia="Salesforce Sans" w:hAnsi="Salesforce Sans"/>
          <w:b w:val="1"/>
          <w:color w:val="2b303b"/>
          <w:highlight w:val="white"/>
          <w:rtl w:val="0"/>
        </w:rPr>
        <w:t xml:space="preserve">Social Determinants of Health:</w:t>
      </w:r>
      <w:r w:rsidDel="00000000" w:rsidR="00000000" w:rsidRPr="00000000">
        <w:rPr>
          <w:rFonts w:ascii="Salesforce Sans" w:cs="Salesforce Sans" w:eastAsia="Salesforce Sans" w:hAnsi="Salesforce Sans"/>
          <w:color w:val="2b303b"/>
          <w:highlight w:val="white"/>
          <w:rtl w:val="0"/>
        </w:rPr>
        <w:t xml:space="preserve"> </w:t>
      </w:r>
      <w:r w:rsidDel="00000000" w:rsidR="00000000" w:rsidRPr="00000000">
        <w:rPr>
          <w:rFonts w:ascii="Salesforce Sans" w:cs="Salesforce Sans" w:eastAsia="Salesforce Sans" w:hAnsi="Salesforce Sans"/>
          <w:color w:val="2c2b2e"/>
          <w:highlight w:val="white"/>
          <w:rtl w:val="0"/>
        </w:rPr>
        <w:t xml:space="preserve">Understand the physical environment and socioeconomics of a patient and determine appropriate interventions, such as arranging for rideshare for a patient who lacks access to transportation.</w:t>
      </w:r>
      <w:r w:rsidDel="00000000" w:rsidR="00000000" w:rsidRPr="00000000">
        <w:rPr>
          <w:rtl w:val="0"/>
        </w:rPr>
      </w:r>
    </w:p>
    <w:p w:rsidR="00000000" w:rsidDel="00000000" w:rsidP="00000000" w:rsidRDefault="00000000" w:rsidRPr="00000000" w14:paraId="00000039">
      <w:pPr>
        <w:spacing w:after="0" w:lineRule="auto"/>
        <w:ind w:left="0" w:firstLine="0"/>
        <w:jc w:val="both"/>
        <w:rPr>
          <w:rFonts w:ascii="Salesforce Sans" w:cs="Salesforce Sans" w:eastAsia="Salesforce Sans" w:hAnsi="Salesforce Sans"/>
          <w:color w:val="2b303b"/>
          <w:highlight w:val="white"/>
        </w:rPr>
      </w:pPr>
      <w:r w:rsidDel="00000000" w:rsidR="00000000" w:rsidRPr="00000000">
        <w:rPr>
          <w:rtl w:val="0"/>
        </w:rPr>
      </w:r>
    </w:p>
    <w:p w:rsidR="00000000" w:rsidDel="00000000" w:rsidP="00000000" w:rsidRDefault="00000000" w:rsidRPr="00000000" w14:paraId="0000003A">
      <w:pPr>
        <w:spacing w:after="0" w:lineRule="auto"/>
        <w:ind w:left="0" w:firstLine="0"/>
        <w:jc w:val="both"/>
        <w:rPr>
          <w:rFonts w:ascii="Salesforce Sans" w:cs="Salesforce Sans" w:eastAsia="Salesforce Sans" w:hAnsi="Salesforce Sans"/>
          <w:color w:val="2b303b"/>
          <w:highlight w:val="white"/>
        </w:rPr>
      </w:pPr>
      <w:r w:rsidDel="00000000" w:rsidR="00000000" w:rsidRPr="00000000">
        <w:rPr>
          <w:rFonts w:ascii="Salesforce Sans" w:cs="Salesforce Sans" w:eastAsia="Salesforce Sans" w:hAnsi="Salesforce Sans"/>
          <w:color w:val="2b303b"/>
          <w:highlight w:val="white"/>
          <w:rtl w:val="0"/>
        </w:rPr>
        <w:t xml:space="preserve">The contact center box includes pre-built components (link to components </w:t>
      </w:r>
      <w:r w:rsidDel="00000000" w:rsidR="00000000" w:rsidRPr="00000000">
        <w:rPr>
          <w:rFonts w:ascii="Salesforce Sans" w:cs="Salesforce Sans" w:eastAsia="Salesforce Sans" w:hAnsi="Salesforce Sans"/>
          <w:b w:val="1"/>
          <w:color w:val="2b303b"/>
          <w:highlight w:val="white"/>
          <w:rtl w:val="0"/>
        </w:rPr>
        <w:t xml:space="preserve">here</w:t>
      </w:r>
      <w:r w:rsidDel="00000000" w:rsidR="00000000" w:rsidRPr="00000000">
        <w:rPr>
          <w:rFonts w:ascii="Salesforce Sans" w:cs="Salesforce Sans" w:eastAsia="Salesforce Sans" w:hAnsi="Salesforce Sans"/>
          <w:color w:val="2b303b"/>
          <w:highlight w:val="white"/>
          <w:rtl w:val="0"/>
        </w:rPr>
        <w:t xml:space="preserve">) leveraging the below products.</w:t>
      </w:r>
    </w:p>
    <w:p w:rsidR="00000000" w:rsidDel="00000000" w:rsidP="00000000" w:rsidRDefault="00000000" w:rsidRPr="00000000" w14:paraId="0000003B">
      <w:pPr>
        <w:spacing w:after="0" w:lineRule="auto"/>
        <w:ind w:left="1440" w:firstLine="0"/>
        <w:jc w:val="both"/>
        <w:rPr>
          <w:rFonts w:ascii="Salesforce Sans" w:cs="Salesforce Sans" w:eastAsia="Salesforce Sans" w:hAnsi="Salesforce Sans"/>
          <w:color w:val="2b303b"/>
          <w:highlight w:val="white"/>
        </w:rPr>
      </w:pPr>
      <w:r w:rsidDel="00000000" w:rsidR="00000000" w:rsidRPr="00000000">
        <w:rPr>
          <w:rtl w:val="0"/>
        </w:rPr>
      </w:r>
    </w:p>
    <w:p w:rsidR="00000000" w:rsidDel="00000000" w:rsidP="00000000" w:rsidRDefault="00000000" w:rsidRPr="00000000" w14:paraId="0000003C">
      <w:pPr>
        <w:spacing w:after="0" w:lineRule="auto"/>
        <w:ind w:left="1440" w:firstLine="0"/>
        <w:jc w:val="both"/>
        <w:rPr>
          <w:rFonts w:ascii="Salesforce Sans" w:cs="Salesforce Sans" w:eastAsia="Salesforce Sans" w:hAnsi="Salesforce Sans"/>
          <w:b w:val="1"/>
        </w:rPr>
      </w:pPr>
      <w:r w:rsidDel="00000000" w:rsidR="00000000" w:rsidRPr="00000000">
        <w:rPr>
          <w:rtl w:val="0"/>
        </w:rPr>
      </w:r>
    </w:p>
    <w:p w:rsidR="00000000" w:rsidDel="00000000" w:rsidP="00000000" w:rsidRDefault="00000000" w:rsidRPr="00000000" w14:paraId="0000003D">
      <w:pPr>
        <w:spacing w:after="0" w:lineRule="auto"/>
        <w:ind w:left="0" w:firstLine="0"/>
        <w:jc w:val="both"/>
        <w:rPr>
          <w:rFonts w:ascii="Salesforce Sans" w:cs="Salesforce Sans" w:eastAsia="Salesforce Sans" w:hAnsi="Salesforce Sans"/>
          <w:b w:val="1"/>
          <w:u w:val="single"/>
        </w:rPr>
      </w:pPr>
      <w:r w:rsidDel="00000000" w:rsidR="00000000" w:rsidRPr="00000000">
        <w:rPr>
          <w:rFonts w:ascii="Salesforce Sans" w:cs="Salesforce Sans" w:eastAsia="Salesforce Sans" w:hAnsi="Salesforce Sans"/>
          <w:b w:val="1"/>
          <w:color w:val="009ddc"/>
          <w:sz w:val="28"/>
          <w:szCs w:val="28"/>
          <w:rtl w:val="0"/>
        </w:rPr>
        <w:t xml:space="preserve">Included Products</w:t>
      </w:r>
      <w:r w:rsidDel="00000000" w:rsidR="00000000" w:rsidRPr="00000000">
        <w:rPr>
          <w:rtl w:val="0"/>
        </w:rPr>
      </w:r>
    </w:p>
    <w:p w:rsidR="00000000" w:rsidDel="00000000" w:rsidP="00000000" w:rsidRDefault="00000000" w:rsidRPr="00000000" w14:paraId="0000003E">
      <w:pPr>
        <w:spacing w:after="0" w:lineRule="auto"/>
        <w:ind w:left="0" w:firstLine="0"/>
        <w:jc w:val="both"/>
        <w:rPr>
          <w:rFonts w:ascii="Salesforce Sans" w:cs="Salesforce Sans" w:eastAsia="Salesforce Sans" w:hAnsi="Salesforce Sans"/>
          <w:highlight w:val="white"/>
        </w:rPr>
      </w:pPr>
      <w:r w:rsidDel="00000000" w:rsidR="00000000" w:rsidRPr="00000000">
        <w:rPr>
          <w:rtl w:val="0"/>
        </w:rPr>
      </w:r>
    </w:p>
    <w:p w:rsidR="00000000" w:rsidDel="00000000" w:rsidP="00000000" w:rsidRDefault="00000000" w:rsidRPr="00000000" w14:paraId="0000003F">
      <w:pPr>
        <w:spacing w:after="0" w:lineRule="auto"/>
        <w:ind w:left="0" w:firstLine="0"/>
        <w:jc w:val="both"/>
        <w:rPr>
          <w:rFonts w:ascii="Salesforce Sans" w:cs="Salesforce Sans" w:eastAsia="Salesforce Sans" w:hAnsi="Salesforce Sans"/>
          <w:b w:val="1"/>
        </w:rPr>
      </w:pPr>
      <w:r w:rsidDel="00000000" w:rsidR="00000000" w:rsidRPr="00000000">
        <w:rPr>
          <w:rFonts w:ascii="Salesforce Sans" w:cs="Salesforce Sans" w:eastAsia="Salesforce Sans" w:hAnsi="Salesforce Sans"/>
          <w:b w:val="1"/>
          <w:rtl w:val="0"/>
        </w:rPr>
        <w:t xml:space="preserve">Health Cloud</w:t>
      </w:r>
    </w:p>
    <w:p w:rsidR="00000000" w:rsidDel="00000000" w:rsidP="00000000" w:rsidRDefault="00000000" w:rsidRPr="00000000" w14:paraId="00000040">
      <w:pPr>
        <w:spacing w:after="0" w:lineRule="auto"/>
        <w:ind w:left="0" w:firstLine="0"/>
        <w:jc w:val="both"/>
        <w:rPr>
          <w:rFonts w:ascii="Salesforce Sans" w:cs="Salesforce Sans" w:eastAsia="Salesforce Sans" w:hAnsi="Salesforce Sans"/>
        </w:rPr>
      </w:pPr>
      <w:r w:rsidDel="00000000" w:rsidR="00000000" w:rsidRPr="00000000">
        <w:rPr>
          <w:rFonts w:ascii="Salesforce Sans" w:cs="Salesforce Sans" w:eastAsia="Salesforce Sans" w:hAnsi="Salesforce Sans"/>
          <w:highlight w:val="white"/>
          <w:rtl w:val="0"/>
        </w:rPr>
        <w:t xml:space="preserve">Health </w:t>
      </w:r>
      <w:r w:rsidDel="00000000" w:rsidR="00000000" w:rsidRPr="00000000">
        <w:rPr>
          <w:rFonts w:ascii="Salesforce Sans" w:cs="Salesforce Sans" w:eastAsia="Salesforce Sans" w:hAnsi="Salesforce Sans"/>
          <w:rtl w:val="0"/>
        </w:rPr>
        <w:t xml:space="preserve">Cloud</w:t>
      </w:r>
      <w:r w:rsidDel="00000000" w:rsidR="00000000" w:rsidRPr="00000000">
        <w:rPr>
          <w:rFonts w:ascii="Salesforce Sans" w:cs="Salesforce Sans" w:eastAsia="Salesforce Sans" w:hAnsi="Salesforce Sans"/>
          <w:highlight w:val="white"/>
          <w:rtl w:val="0"/>
        </w:rPr>
        <w:t xml:space="preserve"> is a patient relationship platform that harnesses </w:t>
      </w:r>
      <w:r w:rsidDel="00000000" w:rsidR="00000000" w:rsidRPr="00000000">
        <w:rPr>
          <w:rFonts w:ascii="Salesforce Sans" w:cs="Salesforce Sans" w:eastAsia="Salesforce Sans" w:hAnsi="Salesforce Sans"/>
          <w:rtl w:val="0"/>
        </w:rPr>
        <w:t xml:space="preserve">cloud</w:t>
      </w:r>
      <w:r w:rsidDel="00000000" w:rsidR="00000000" w:rsidRPr="00000000">
        <w:rPr>
          <w:rFonts w:ascii="Salesforce Sans" w:cs="Salesforce Sans" w:eastAsia="Salesforce Sans" w:hAnsi="Salesforce Sans"/>
          <w:highlight w:val="white"/>
          <w:rtl w:val="0"/>
        </w:rPr>
        <w:t xml:space="preserve">, social and mobile technologies to deliver more personalized engagement by providing a complete view of the patient and a connected patient engagement experience. Call center staff use it to connect with health consumers in a HIPAA compliant environment at any time and anywhere, on popular devices and across multiple channels: phone, email, messaging, chat, live video, SMS, self-service web portals, social networks, online communities and directly within their own products and mobile apps.</w:t>
      </w:r>
      <w:r w:rsidDel="00000000" w:rsidR="00000000" w:rsidRPr="00000000">
        <w:rPr>
          <w:rtl w:val="0"/>
        </w:rPr>
      </w:r>
    </w:p>
    <w:p w:rsidR="00000000" w:rsidDel="00000000" w:rsidP="00000000" w:rsidRDefault="00000000" w:rsidRPr="00000000" w14:paraId="00000041">
      <w:pPr>
        <w:spacing w:after="0" w:lineRule="auto"/>
        <w:ind w:left="1440" w:firstLine="0"/>
        <w:jc w:val="both"/>
        <w:rPr>
          <w:rFonts w:ascii="Salesforce Sans" w:cs="Salesforce Sans" w:eastAsia="Salesforce Sans" w:hAnsi="Salesforce Sans"/>
          <w:b w:val="1"/>
        </w:rPr>
      </w:pPr>
      <w:r w:rsidDel="00000000" w:rsidR="00000000" w:rsidRPr="00000000">
        <w:rPr>
          <w:rtl w:val="0"/>
        </w:rPr>
      </w:r>
    </w:p>
    <w:p w:rsidR="00000000" w:rsidDel="00000000" w:rsidP="00000000" w:rsidRDefault="00000000" w:rsidRPr="00000000" w14:paraId="00000042">
      <w:pPr>
        <w:spacing w:after="0" w:lineRule="auto"/>
        <w:ind w:left="0" w:firstLine="0"/>
        <w:jc w:val="both"/>
        <w:rPr>
          <w:rFonts w:ascii="Salesforce Sans" w:cs="Salesforce Sans" w:eastAsia="Salesforce Sans" w:hAnsi="Salesforce Sans"/>
          <w:b w:val="1"/>
        </w:rPr>
      </w:pPr>
      <w:r w:rsidDel="00000000" w:rsidR="00000000" w:rsidRPr="00000000">
        <w:rPr>
          <w:rFonts w:ascii="Salesforce Sans" w:cs="Salesforce Sans" w:eastAsia="Salesforce Sans" w:hAnsi="Salesforce Sans"/>
          <w:b w:val="1"/>
          <w:rtl w:val="0"/>
        </w:rPr>
        <w:t xml:space="preserve">Shield</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Salesforce Shield is a set of security tools health systems use to comply with regulations on storing sensitive, protected health information. With Platform Encryption and Event Monitoring, health systems can monitor usage, prevent malicious activity, and protect data at rest while leveraging Health Cloud’s full functionality.</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Salesforce Sans" w:cs="Salesforce Sans" w:eastAsia="Salesforce Sans" w:hAnsi="Salesforce Sans"/>
        </w:rPr>
      </w:pPr>
      <w:r w:rsidDel="00000000" w:rsidR="00000000" w:rsidRPr="00000000">
        <w:rPr>
          <w:rFonts w:ascii="Salesforce Sans" w:cs="Salesforce Sans" w:eastAsia="Salesforce Sans" w:hAnsi="Salesforce Sans"/>
          <w:b w:val="1"/>
          <w:rtl w:val="0"/>
        </w:rPr>
        <w:t xml:space="preserve">Knowledge</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Salesforce Knowledge provides the ability to build out a comprehensive Knowledge Base (KB) inside of Health Cloud to service internal agents and patients.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Salesforce Sans" w:cs="Salesforce Sans" w:eastAsia="Salesforce Sans" w:hAnsi="Salesforce Sans"/>
          <w:b w:val="1"/>
        </w:rPr>
      </w:pPr>
      <w:r w:rsidDel="00000000" w:rsidR="00000000" w:rsidRPr="00000000">
        <w:rPr>
          <w:rFonts w:ascii="Salesforce Sans" w:cs="Salesforce Sans" w:eastAsia="Salesforce Sans" w:hAnsi="Salesforce Sans"/>
          <w:b w:val="1"/>
          <w:rtl w:val="0"/>
        </w:rPr>
        <w:t xml:space="preserve">Digital Engagement</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Salesforce Digital Engagement helps healthcare organizations </w:t>
      </w:r>
      <w:r w:rsidDel="00000000" w:rsidR="00000000" w:rsidRPr="00000000">
        <w:rPr>
          <w:rFonts w:ascii="Salesforce Sans" w:cs="Salesforce Sans" w:eastAsia="Salesforce Sans" w:hAnsi="Salesforce Sans"/>
          <w:rtl w:val="0"/>
        </w:rPr>
        <w:t xml:space="preserve">reach healthcare consumers across every digital channel — including mobile messaging, web chat, and social networks — to provide a seamless service experience.</w:t>
      </w:r>
      <w:r w:rsidDel="00000000" w:rsidR="00000000" w:rsidRPr="00000000">
        <w:rPr>
          <w:rtl w:val="0"/>
        </w:rPr>
      </w:r>
    </w:p>
    <w:p w:rsidR="00000000" w:rsidDel="00000000" w:rsidP="00000000" w:rsidRDefault="00000000" w:rsidRPr="00000000" w14:paraId="0000004A">
      <w:pPr>
        <w:spacing w:after="0" w:lineRule="auto"/>
        <w:ind w:left="0" w:firstLine="0"/>
        <w:jc w:val="both"/>
        <w:rPr>
          <w:rFonts w:ascii="Salesforce Sans" w:cs="Salesforce Sans" w:eastAsia="Salesforce Sans" w:hAnsi="Salesforce Sans"/>
          <w:b w:val="1"/>
        </w:rPr>
      </w:pPr>
      <w:r w:rsidDel="00000000" w:rsidR="00000000" w:rsidRPr="00000000">
        <w:rPr>
          <w:rtl w:val="0"/>
        </w:rPr>
      </w:r>
    </w:p>
    <w:p w:rsidR="00000000" w:rsidDel="00000000" w:rsidP="00000000" w:rsidRDefault="00000000" w:rsidRPr="00000000" w14:paraId="0000004B">
      <w:pPr>
        <w:spacing w:after="0" w:lineRule="auto"/>
        <w:ind w:left="0" w:firstLine="0"/>
        <w:jc w:val="both"/>
        <w:rPr>
          <w:rFonts w:ascii="Salesforce Sans" w:cs="Salesforce Sans" w:eastAsia="Salesforce Sans" w:hAnsi="Salesforce Sans"/>
          <w:b w:val="1"/>
        </w:rPr>
      </w:pPr>
      <w:r w:rsidDel="00000000" w:rsidR="00000000" w:rsidRPr="00000000">
        <w:rPr>
          <w:rFonts w:ascii="Salesforce Sans" w:cs="Salesforce Sans" w:eastAsia="Salesforce Sans" w:hAnsi="Salesforce Sans"/>
          <w:b w:val="1"/>
          <w:rtl w:val="0"/>
        </w:rPr>
        <w:t xml:space="preserve">Service Cloud Einstein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Salesforce Service Cloud Einstein helps health systems deliver smarter service with artificial intelligence and out-of-the-box analytics. </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4F">
      <w:pPr>
        <w:ind w:left="0" w:firstLine="0"/>
        <w:rPr>
          <w:rFonts w:ascii="Salesforce Sans" w:cs="Salesforce Sans" w:eastAsia="Salesforce Sans" w:hAnsi="Salesforce Sans"/>
          <w:shd w:fill="f4f4f4" w:val="clear"/>
        </w:rPr>
      </w:pPr>
      <w:r w:rsidDel="00000000" w:rsidR="00000000" w:rsidRPr="00000000">
        <w:rPr>
          <w:rtl w:val="0"/>
        </w:rPr>
      </w:r>
    </w:p>
    <w:p w:rsidR="00000000" w:rsidDel="00000000" w:rsidP="00000000" w:rsidRDefault="00000000" w:rsidRPr="00000000" w14:paraId="00000050">
      <w:pPr>
        <w:pageBreakBefore w:val="0"/>
        <w:spacing w:after="40" w:before="200" w:lineRule="auto"/>
        <w:ind w:left="0" w:firstLine="0"/>
        <w:jc w:val="both"/>
        <w:rPr>
          <w:rFonts w:ascii="Salesforce Sans" w:cs="Salesforce Sans" w:eastAsia="Salesforce Sans" w:hAnsi="Salesforce Sans"/>
          <w:shd w:fill="f4f4f4" w:val="clear"/>
        </w:rPr>
      </w:pPr>
      <w:r w:rsidDel="00000000" w:rsidR="00000000" w:rsidRPr="00000000">
        <w:rPr>
          <w:rtl w:val="0"/>
        </w:rPr>
      </w:r>
    </w:p>
    <w:p w:rsidR="00000000" w:rsidDel="00000000" w:rsidP="00000000" w:rsidRDefault="00000000" w:rsidRPr="00000000" w14:paraId="00000051">
      <w:pPr>
        <w:pageBreakBefore w:val="0"/>
        <w:spacing w:after="40" w:before="200" w:lineRule="auto"/>
        <w:ind w:left="0" w:firstLine="0"/>
        <w:jc w:val="both"/>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52">
      <w:pPr>
        <w:pageBreakBefore w:val="0"/>
        <w:spacing w:after="40" w:before="200" w:lineRule="auto"/>
        <w:ind w:left="0" w:firstLine="0"/>
        <w:jc w:val="both"/>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53">
      <w:pPr>
        <w:pStyle w:val="Heading2"/>
        <w:pageBreakBefore w:val="0"/>
        <w:jc w:val="both"/>
        <w:rPr>
          <w:rFonts w:ascii="Salesforce Sans" w:cs="Salesforce Sans" w:eastAsia="Salesforce Sans" w:hAnsi="Salesforce Sans"/>
          <w:color w:val="808080"/>
        </w:rPr>
      </w:pPr>
      <w:bookmarkStart w:colFirst="0" w:colLast="0" w:name="_fi88iphpxnzh" w:id="6"/>
      <w:bookmarkEnd w:id="6"/>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pageBreakBefore w:val="0"/>
        <w:numPr>
          <w:ilvl w:val="0"/>
          <w:numId w:val="11"/>
        </w:numPr>
        <w:spacing w:after="240" w:before="240" w:lineRule="auto"/>
        <w:ind w:firstLine="360"/>
        <w:jc w:val="both"/>
        <w:rPr>
          <w:rFonts w:ascii="Salesforce Sans" w:cs="Salesforce Sans" w:eastAsia="Salesforce Sans" w:hAnsi="Salesforce Sans"/>
        </w:rPr>
      </w:pPr>
      <w:bookmarkStart w:colFirst="0" w:colLast="0" w:name="_foqivplpxn5d" w:id="7"/>
      <w:bookmarkEnd w:id="7"/>
      <w:r w:rsidDel="00000000" w:rsidR="00000000" w:rsidRPr="00000000">
        <w:rPr>
          <w:rFonts w:ascii="Salesforce Sans" w:cs="Salesforce Sans" w:eastAsia="Salesforce Sans" w:hAnsi="Salesforce Sans"/>
          <w:rtl w:val="0"/>
        </w:rPr>
        <w:t xml:space="preserve">Process Flow Diagram</w:t>
      </w:r>
      <w:r w:rsidDel="00000000" w:rsidR="00000000" w:rsidRPr="00000000">
        <w:rPr>
          <w:rtl w:val="0"/>
        </w:rPr>
      </w:r>
    </w:p>
    <w:p w:rsidR="00000000" w:rsidDel="00000000" w:rsidP="00000000" w:rsidRDefault="00000000" w:rsidRPr="00000000" w14:paraId="00000055">
      <w:pPr>
        <w:pageBreakBefore w:val="0"/>
        <w:spacing w:after="240" w:before="240" w:lineRule="auto"/>
        <w:ind w:left="0" w:firstLine="0"/>
        <w:jc w:val="both"/>
        <w:rPr>
          <w:rFonts w:ascii="Salesforce Sans" w:cs="Salesforce Sans" w:eastAsia="Salesforce Sans" w:hAnsi="Salesforce Sans"/>
          <w:b w:val="1"/>
        </w:rPr>
      </w:pPr>
      <w:r w:rsidDel="00000000" w:rsidR="00000000" w:rsidRPr="00000000">
        <w:rPr>
          <w:rFonts w:ascii="Salesforce Sans" w:cs="Salesforce Sans" w:eastAsia="Salesforce Sans" w:hAnsi="Salesforce Sans"/>
          <w:b w:val="1"/>
          <w:color w:val="009ddc"/>
          <w:sz w:val="28"/>
          <w:szCs w:val="28"/>
          <w:rtl w:val="0"/>
        </w:rPr>
        <w:t xml:space="preserve">Solution Overview and Architecture</w:t>
      </w:r>
      <w:r w:rsidDel="00000000" w:rsidR="00000000" w:rsidRPr="00000000">
        <w:rPr>
          <w:rtl w:val="0"/>
        </w:rPr>
      </w:r>
    </w:p>
    <w:p w:rsidR="00000000" w:rsidDel="00000000" w:rsidP="00000000" w:rsidRDefault="00000000" w:rsidRPr="00000000" w14:paraId="00000056">
      <w:pPr>
        <w:pageBreakBefore w:val="0"/>
        <w:shd w:fill="ffffff" w:val="clear"/>
        <w:spacing w:after="0" w:lineRule="auto"/>
        <w:ind w:left="0" w:firstLine="0"/>
        <w:jc w:val="both"/>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The Salesforce platform can quickly integrate with your existing applications through our APIs. Salesforce processes trillions of transactions each day, and many of these transactions are via integration. Synchronous and asynchronous SOAP and REST web service calls, streaming and presence, metadata and development, delegated authentication and telephony are some examples for which our platform is regularly used. </w:t>
      </w:r>
    </w:p>
    <w:p w:rsidR="00000000" w:rsidDel="00000000" w:rsidP="00000000" w:rsidRDefault="00000000" w:rsidRPr="00000000" w14:paraId="00000057">
      <w:pPr>
        <w:pageBreakBefore w:val="0"/>
        <w:shd w:fill="ffffff" w:val="clear"/>
        <w:spacing w:after="0" w:lineRule="auto"/>
        <w:ind w:left="0" w:firstLine="0"/>
        <w:jc w:val="both"/>
        <w:rPr>
          <w:rFonts w:ascii="Salesforce Sans" w:cs="Salesforce Sans" w:eastAsia="Salesforce Sans" w:hAnsi="Salesforce Sans"/>
        </w:rPr>
      </w:pPr>
      <w:r w:rsidDel="00000000" w:rsidR="00000000" w:rsidRPr="00000000">
        <w:rPr>
          <w:rFonts w:ascii="Salesforce Sans" w:cs="Salesforce Sans" w:eastAsia="Salesforce Sans" w:hAnsi="Salesforce Sans"/>
        </w:rPr>
        <w:drawing>
          <wp:inline distB="114300" distT="114300" distL="114300" distR="114300">
            <wp:extent cx="5943600" cy="3352800"/>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40" w:before="200" w:lineRule="auto"/>
        <w:ind w:left="0" w:firstLine="0"/>
        <w:jc w:val="both"/>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59">
      <w:pPr>
        <w:pageBreakBefore w:val="0"/>
        <w:shd w:fill="ffffff" w:val="clear"/>
        <w:spacing w:after="160" w:lineRule="auto"/>
        <w:ind w:left="0" w:firstLine="0"/>
        <w:jc w:val="center"/>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5A">
      <w:pPr>
        <w:pageBreakBefore w:val="0"/>
        <w:spacing w:after="0" w:lineRule="auto"/>
        <w:ind w:left="0" w:firstLine="0"/>
        <w:jc w:val="both"/>
        <w:rPr>
          <w:rFonts w:ascii="Salesforce Sans" w:cs="Salesforce Sans" w:eastAsia="Salesforce Sans" w:hAnsi="Salesforce Sans"/>
          <w:sz w:val="20"/>
          <w:szCs w:val="20"/>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5C">
      <w:pPr>
        <w:pageBreakBefore w:val="0"/>
        <w:shd w:fill="ffffff" w:val="clear"/>
        <w:spacing w:after="0" w:lineRule="auto"/>
        <w:ind w:left="0" w:firstLine="0"/>
        <w:jc w:val="left"/>
        <w:rPr>
          <w:rFonts w:ascii="Salesforce Sans" w:cs="Salesforce Sans" w:eastAsia="Salesforce Sans" w:hAnsi="Salesforce Sans"/>
          <w:color w:val="ff0000"/>
          <w:highlight w:val="yellow"/>
        </w:rPr>
      </w:pPr>
      <w:r w:rsidDel="00000000" w:rsidR="00000000" w:rsidRPr="00000000">
        <w:rPr>
          <w:rtl w:val="0"/>
        </w:rPr>
      </w:r>
    </w:p>
    <w:p w:rsidR="00000000" w:rsidDel="00000000" w:rsidP="00000000" w:rsidRDefault="00000000" w:rsidRPr="00000000" w14:paraId="0000005D">
      <w:pPr>
        <w:pageBreakBefore w:val="0"/>
        <w:widowControl w:val="0"/>
        <w:spacing w:after="0" w:line="240" w:lineRule="auto"/>
        <w:ind w:left="0" w:firstLine="0"/>
        <w:jc w:val="both"/>
        <w:rPr>
          <w:rFonts w:ascii="Salesforce Sans" w:cs="Salesforce Sans" w:eastAsia="Salesforce Sans" w:hAnsi="Salesforce Sans"/>
          <w:color w:val="000000"/>
        </w:rPr>
      </w:pPr>
      <w:r w:rsidDel="00000000" w:rsidR="00000000" w:rsidRPr="00000000">
        <w:rPr>
          <w:rtl w:val="0"/>
        </w:rPr>
      </w:r>
    </w:p>
    <w:p w:rsidR="00000000" w:rsidDel="00000000" w:rsidP="00000000" w:rsidRDefault="00000000" w:rsidRPr="00000000" w14:paraId="0000005E">
      <w:pPr>
        <w:pageBreakBefore w:val="0"/>
        <w:widowControl w:val="0"/>
        <w:spacing w:after="0" w:line="240" w:lineRule="auto"/>
        <w:ind w:left="0" w:firstLine="0"/>
        <w:jc w:val="center"/>
        <w:rPr>
          <w:rFonts w:ascii="Salesforce Sans" w:cs="Salesforce Sans" w:eastAsia="Salesforce Sans" w:hAnsi="Salesforce Sans"/>
          <w:color w:val="000000"/>
        </w:rPr>
      </w:pPr>
      <w:r w:rsidDel="00000000" w:rsidR="00000000" w:rsidRPr="00000000">
        <w:rPr>
          <w:rtl w:val="0"/>
        </w:rPr>
      </w:r>
    </w:p>
    <w:p w:rsidR="00000000" w:rsidDel="00000000" w:rsidP="00000000" w:rsidRDefault="00000000" w:rsidRPr="00000000" w14:paraId="0000005F">
      <w:pPr>
        <w:pageBreakBefore w:val="0"/>
        <w:widowControl w:val="0"/>
        <w:spacing w:after="0" w:line="240" w:lineRule="auto"/>
        <w:ind w:left="0" w:firstLine="0"/>
        <w:jc w:val="both"/>
        <w:rPr>
          <w:rFonts w:ascii="Salesforce Sans" w:cs="Salesforce Sans" w:eastAsia="Salesforce Sans" w:hAnsi="Salesforce Sans"/>
          <w:color w:val="000000"/>
        </w:rPr>
      </w:pPr>
      <w:r w:rsidDel="00000000" w:rsidR="00000000" w:rsidRPr="00000000">
        <w:rPr>
          <w:rtl w:val="0"/>
        </w:rPr>
      </w:r>
    </w:p>
    <w:p w:rsidR="00000000" w:rsidDel="00000000" w:rsidP="00000000" w:rsidRDefault="00000000" w:rsidRPr="00000000" w14:paraId="00000060">
      <w:pPr>
        <w:pageBreakBefore w:val="0"/>
        <w:widowControl w:val="0"/>
        <w:spacing w:after="0" w:line="240" w:lineRule="auto"/>
        <w:ind w:left="0" w:firstLine="0"/>
        <w:jc w:val="both"/>
        <w:rPr>
          <w:rFonts w:ascii="Salesforce Sans" w:cs="Salesforce Sans" w:eastAsia="Salesforce Sans" w:hAnsi="Salesforce Sans"/>
          <w:color w:val="000000"/>
        </w:rPr>
      </w:pPr>
      <w:r w:rsidDel="00000000" w:rsidR="00000000" w:rsidRPr="00000000">
        <w:rPr>
          <w:rtl w:val="0"/>
        </w:rPr>
      </w:r>
    </w:p>
    <w:p w:rsidR="00000000" w:rsidDel="00000000" w:rsidP="00000000" w:rsidRDefault="00000000" w:rsidRPr="00000000" w14:paraId="00000061">
      <w:pPr>
        <w:pageBreakBefore w:val="0"/>
        <w:widowControl w:val="0"/>
        <w:spacing w:after="0" w:line="240" w:lineRule="auto"/>
        <w:ind w:left="0" w:firstLine="0"/>
        <w:jc w:val="both"/>
        <w:rPr>
          <w:rFonts w:ascii="Salesforce Sans" w:cs="Salesforce Sans" w:eastAsia="Salesforce Sans" w:hAnsi="Salesforce Sans"/>
          <w:color w:val="000000"/>
        </w:rPr>
      </w:pPr>
      <w:r w:rsidDel="00000000" w:rsidR="00000000" w:rsidRPr="00000000">
        <w:rPr>
          <w:rtl w:val="0"/>
        </w:rPr>
      </w:r>
    </w:p>
    <w:p w:rsidR="00000000" w:rsidDel="00000000" w:rsidP="00000000" w:rsidRDefault="00000000" w:rsidRPr="00000000" w14:paraId="00000062">
      <w:pPr>
        <w:pageBreakBefore w:val="0"/>
        <w:ind w:left="0" w:firstLine="0"/>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63">
      <w:pPr>
        <w:pStyle w:val="Heading4"/>
        <w:spacing w:after="240" w:before="240" w:lineRule="auto"/>
        <w:ind w:left="0" w:firstLine="0"/>
        <w:jc w:val="both"/>
        <w:rPr/>
      </w:pPr>
      <w:bookmarkStart w:colFirst="0" w:colLast="0" w:name="_r8bi6fnf0qzz" w:id="8"/>
      <w:bookmarkEnd w:id="8"/>
      <w:r w:rsidDel="00000000" w:rsidR="00000000" w:rsidRPr="00000000">
        <w:rPr>
          <w:rtl w:val="0"/>
        </w:rPr>
        <w:t xml:space="preserve">Frequency of Software upgrades and Version Updates</w:t>
      </w:r>
    </w:p>
    <w:p w:rsidR="00000000" w:rsidDel="00000000" w:rsidP="00000000" w:rsidRDefault="00000000" w:rsidRPr="00000000" w14:paraId="00000064">
      <w:pPr>
        <w:pageBreakBefore w:val="0"/>
        <w:spacing w:after="240" w:before="240" w:lineRule="auto"/>
        <w:ind w:left="0" w:firstLine="0"/>
        <w:jc w:val="both"/>
        <w:rPr>
          <w:rFonts w:ascii="Salesforce Sans" w:cs="Salesforce Sans" w:eastAsia="Salesforce Sans" w:hAnsi="Salesforce Sans"/>
          <w:color w:val="000000"/>
        </w:rPr>
      </w:pPr>
      <w:r w:rsidDel="00000000" w:rsidR="00000000" w:rsidRPr="00000000">
        <w:rPr>
          <w:rFonts w:ascii="Salesforce Sans" w:cs="Salesforce Sans" w:eastAsia="Salesforce Sans" w:hAnsi="Salesforce Sans"/>
          <w:color w:val="000000"/>
          <w:rtl w:val="0"/>
        </w:rPr>
        <w:t xml:space="preserve">At Salesforce, we’re proud to deliver hundreds of innovative features to you three times a year during our seasonal releases: Spring, Summer, and Winter. With our multitenant, metadata-driven platform, we provide customers with seamless, automatic upgrades each release, delivered in real time, with no downtime. It’s all in the cloud, so there’s no worrying about updating hardware or software. Yes, you read that right: upgrades are automatic! That means all customers run the same version of Salesforce, complete with all the latest features. </w:t>
      </w:r>
    </w:p>
    <w:p w:rsidR="00000000" w:rsidDel="00000000" w:rsidP="00000000" w:rsidRDefault="00000000" w:rsidRPr="00000000" w14:paraId="00000065">
      <w:pPr>
        <w:pageBreakBefore w:val="0"/>
        <w:spacing w:after="240" w:before="240" w:lineRule="auto"/>
        <w:ind w:left="0" w:firstLine="0"/>
        <w:jc w:val="both"/>
        <w:rPr>
          <w:rFonts w:ascii="Salesforce Sans" w:cs="Salesforce Sans" w:eastAsia="Salesforce Sans" w:hAnsi="Salesforce Sans"/>
          <w:color w:val="4a86e8"/>
        </w:rPr>
      </w:pPr>
      <w:r w:rsidDel="00000000" w:rsidR="00000000" w:rsidRPr="00000000">
        <w:rPr>
          <w:rFonts w:ascii="Salesforce Sans" w:cs="Salesforce Sans" w:eastAsia="Salesforce Sans" w:hAnsi="Salesforce Sans"/>
          <w:color w:val="000000"/>
          <w:rtl w:val="0"/>
        </w:rPr>
        <w:t xml:space="preserve">TRAIL | </w:t>
      </w:r>
      <w:hyperlink r:id="rId12">
        <w:r w:rsidDel="00000000" w:rsidR="00000000" w:rsidRPr="00000000">
          <w:rPr>
            <w:rFonts w:ascii="Salesforce Sans" w:cs="Salesforce Sans" w:eastAsia="Salesforce Sans" w:hAnsi="Salesforce Sans"/>
            <w:color w:val="4a86e8"/>
            <w:u w:val="single"/>
            <w:rtl w:val="0"/>
          </w:rPr>
          <w:t xml:space="preserve">Get to know the Salesforce Releases</w:t>
        </w:r>
      </w:hyperlink>
      <w:r w:rsidDel="00000000" w:rsidR="00000000" w:rsidRPr="00000000">
        <w:rPr>
          <w:rtl w:val="0"/>
        </w:rPr>
      </w:r>
    </w:p>
    <w:p w:rsidR="00000000" w:rsidDel="00000000" w:rsidP="00000000" w:rsidRDefault="00000000" w:rsidRPr="00000000" w14:paraId="00000066">
      <w:pPr>
        <w:pageBreakBefore w:val="0"/>
        <w:spacing w:after="0" w:lineRule="auto"/>
        <w:ind w:left="0" w:firstLine="0"/>
        <w:jc w:val="both"/>
        <w:rPr>
          <w:rFonts w:ascii="Salesforce Sans" w:cs="Salesforce Sans" w:eastAsia="Salesforce Sans" w:hAnsi="Salesforce Sans"/>
          <w:b w:val="1"/>
        </w:rPr>
      </w:pPr>
      <w:r w:rsidDel="00000000" w:rsidR="00000000" w:rsidRPr="00000000">
        <w:rPr>
          <w:rtl w:val="0"/>
        </w:rPr>
      </w:r>
    </w:p>
    <w:p w:rsidR="00000000" w:rsidDel="00000000" w:rsidP="00000000" w:rsidRDefault="00000000" w:rsidRPr="00000000" w14:paraId="00000067">
      <w:pPr>
        <w:spacing w:after="0" w:lineRule="auto"/>
        <w:ind w:left="0" w:firstLine="0"/>
        <w:jc w:val="both"/>
        <w:rPr>
          <w:rFonts w:ascii="Salesforce Sans" w:cs="Salesforce Sans" w:eastAsia="Salesforce Sans" w:hAnsi="Salesforce Sans"/>
          <w:b w:val="1"/>
          <w:color w:val="009ddc"/>
        </w:rPr>
      </w:pPr>
      <w:r w:rsidDel="00000000" w:rsidR="00000000" w:rsidRPr="00000000">
        <w:rPr>
          <w:rFonts w:ascii="Salesforce Sans" w:cs="Salesforce Sans" w:eastAsia="Salesforce Sans" w:hAnsi="Salesforce Sans"/>
          <w:b w:val="1"/>
          <w:color w:val="009ddc"/>
          <w:rtl w:val="0"/>
        </w:rPr>
        <w:t xml:space="preserve">Project Dependencies</w:t>
      </w:r>
    </w:p>
    <w:p w:rsidR="00000000" w:rsidDel="00000000" w:rsidP="00000000" w:rsidRDefault="00000000" w:rsidRPr="00000000" w14:paraId="00000068">
      <w:pPr>
        <w:spacing w:after="0" w:lineRule="auto"/>
        <w:ind w:left="1440" w:firstLine="0"/>
        <w:jc w:val="both"/>
        <w:rPr>
          <w:rFonts w:ascii="Salesforce Sans" w:cs="Salesforce Sans" w:eastAsia="Salesforce Sans" w:hAnsi="Salesforce Sans"/>
          <w:b w:val="1"/>
          <w:u w:val="single"/>
        </w:rPr>
      </w:pPr>
      <w:r w:rsidDel="00000000" w:rsidR="00000000" w:rsidRPr="00000000">
        <w:rPr>
          <w:rtl w:val="0"/>
        </w:rPr>
      </w:r>
    </w:p>
    <w:p w:rsidR="00000000" w:rsidDel="00000000" w:rsidP="00000000" w:rsidRDefault="00000000" w:rsidRPr="00000000" w14:paraId="00000069">
      <w:pPr>
        <w:spacing w:after="0" w:lineRule="auto"/>
        <w:ind w:left="0" w:firstLine="0"/>
        <w:jc w:val="both"/>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The successful implementation of the contact center solution requires a certified SI implementation approach with close partnership and resource support as necessary from the health system.</w:t>
      </w:r>
    </w:p>
    <w:p w:rsidR="00000000" w:rsidDel="00000000" w:rsidP="00000000" w:rsidRDefault="00000000" w:rsidRPr="00000000" w14:paraId="0000006A">
      <w:pPr>
        <w:spacing w:after="0" w:lineRule="auto"/>
        <w:ind w:left="0" w:firstLine="0"/>
        <w:jc w:val="both"/>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6B">
      <w:pPr>
        <w:spacing w:after="0" w:lineRule="auto"/>
        <w:ind w:left="0" w:firstLine="0"/>
        <w:jc w:val="both"/>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Certified SI partners for this approach include:</w:t>
      </w:r>
      <w:r w:rsidDel="00000000" w:rsidR="00000000" w:rsidRPr="00000000">
        <w:rPr>
          <w:rtl w:val="0"/>
        </w:rPr>
      </w:r>
    </w:p>
    <w:p w:rsidR="00000000" w:rsidDel="00000000" w:rsidP="00000000" w:rsidRDefault="00000000" w:rsidRPr="00000000" w14:paraId="0000006C">
      <w:pPr>
        <w:numPr>
          <w:ilvl w:val="0"/>
          <w:numId w:val="8"/>
        </w:numPr>
        <w:spacing w:after="0" w:lineRule="auto"/>
        <w:ind w:firstLine="360"/>
        <w:jc w:val="both"/>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Penrod</w:t>
      </w:r>
    </w:p>
    <w:p w:rsidR="00000000" w:rsidDel="00000000" w:rsidP="00000000" w:rsidRDefault="00000000" w:rsidRPr="00000000" w14:paraId="0000006D">
      <w:pPr>
        <w:numPr>
          <w:ilvl w:val="0"/>
          <w:numId w:val="8"/>
        </w:numPr>
        <w:spacing w:after="0" w:lineRule="auto"/>
        <w:ind w:firstLine="360"/>
        <w:jc w:val="both"/>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Torrent</w:t>
      </w:r>
    </w:p>
    <w:p w:rsidR="00000000" w:rsidDel="00000000" w:rsidP="00000000" w:rsidRDefault="00000000" w:rsidRPr="00000000" w14:paraId="0000006E">
      <w:pPr>
        <w:numPr>
          <w:ilvl w:val="0"/>
          <w:numId w:val="8"/>
        </w:numPr>
        <w:spacing w:after="0" w:lineRule="auto"/>
        <w:ind w:firstLine="360"/>
        <w:jc w:val="both"/>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Coastal Cloud</w:t>
      </w:r>
    </w:p>
    <w:p w:rsidR="00000000" w:rsidDel="00000000" w:rsidP="00000000" w:rsidRDefault="00000000" w:rsidRPr="00000000" w14:paraId="0000006F">
      <w:pPr>
        <w:spacing w:after="0" w:lineRule="auto"/>
        <w:ind w:left="0" w:firstLine="0"/>
        <w:jc w:val="both"/>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70">
      <w:pPr>
        <w:spacing w:after="0" w:lineRule="auto"/>
        <w:ind w:left="0" w:firstLine="0"/>
        <w:jc w:val="both"/>
        <w:rPr>
          <w:rFonts w:ascii="Salesforce Sans" w:cs="Salesforce Sans" w:eastAsia="Salesforce Sans" w:hAnsi="Salesforce Sans"/>
          <w:b w:val="1"/>
          <w:color w:val="009ddc"/>
        </w:rPr>
      </w:pPr>
      <w:r w:rsidDel="00000000" w:rsidR="00000000" w:rsidRPr="00000000">
        <w:rPr>
          <w:rFonts w:ascii="Salesforce Sans" w:cs="Salesforce Sans" w:eastAsia="Salesforce Sans" w:hAnsi="Salesforce Sans"/>
          <w:b w:val="1"/>
          <w:color w:val="009ddc"/>
          <w:rtl w:val="0"/>
        </w:rPr>
        <w:t xml:space="preserve">Solution Assumptions</w:t>
      </w:r>
    </w:p>
    <w:p w:rsidR="00000000" w:rsidDel="00000000" w:rsidP="00000000" w:rsidRDefault="00000000" w:rsidRPr="00000000" w14:paraId="00000071">
      <w:pPr>
        <w:spacing w:after="240" w:before="240" w:lineRule="auto"/>
        <w:ind w:left="0" w:firstLine="0"/>
        <w:jc w:val="both"/>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The solution we recommend assumes the following:</w:t>
      </w:r>
    </w:p>
    <w:p w:rsidR="00000000" w:rsidDel="00000000" w:rsidP="00000000" w:rsidRDefault="00000000" w:rsidRPr="00000000" w14:paraId="00000072">
      <w:pPr>
        <w:numPr>
          <w:ilvl w:val="0"/>
          <w:numId w:val="9"/>
        </w:numPr>
        <w:spacing w:after="240" w:before="240" w:lineRule="auto"/>
        <w:ind w:firstLine="360"/>
        <w:jc w:val="both"/>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Every customer is responsible for configuring this solution in line with specific organizational policies and procedures. This includes content within email templates, scripting in line with organization policies and procedures, parameters for assigning tasks and territories, custom fields, etc. </w:t>
      </w:r>
    </w:p>
    <w:p w:rsidR="00000000" w:rsidDel="00000000" w:rsidP="00000000" w:rsidRDefault="00000000" w:rsidRPr="00000000" w14:paraId="00000073">
      <w:pPr>
        <w:pageBreakBefore w:val="0"/>
        <w:spacing w:after="240" w:before="240" w:lineRule="auto"/>
        <w:ind w:left="0" w:firstLine="0"/>
        <w:jc w:val="both"/>
        <w:rPr>
          <w:rFonts w:ascii="Salesforce Sans" w:cs="Salesforce Sans" w:eastAsia="Salesforce Sans" w:hAnsi="Salesforce Sans"/>
          <w:b w:val="1"/>
          <w:color w:val="009ddc"/>
        </w:rPr>
      </w:pPr>
      <w:r w:rsidDel="00000000" w:rsidR="00000000" w:rsidRPr="00000000">
        <w:rPr>
          <w:rtl w:val="0"/>
        </w:rPr>
      </w:r>
    </w:p>
    <w:p w:rsidR="00000000" w:rsidDel="00000000" w:rsidP="00000000" w:rsidRDefault="00000000" w:rsidRPr="00000000" w14:paraId="00000074">
      <w:pPr>
        <w:pageBreakBefore w:val="0"/>
        <w:spacing w:after="240" w:before="240" w:lineRule="auto"/>
        <w:ind w:left="0" w:firstLine="0"/>
        <w:jc w:val="both"/>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75">
      <w:pPr>
        <w:pageBreakBefore w:val="0"/>
        <w:spacing w:after="240" w:before="240" w:lineRule="auto"/>
        <w:ind w:left="0" w:firstLine="0"/>
        <w:jc w:val="both"/>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76">
      <w:pPr>
        <w:pStyle w:val="Heading1"/>
        <w:pageBreakBefore w:val="0"/>
        <w:numPr>
          <w:ilvl w:val="0"/>
          <w:numId w:val="11"/>
        </w:numPr>
        <w:ind w:firstLine="360"/>
        <w:rPr>
          <w:rFonts w:ascii="Salesforce Sans" w:cs="Salesforce Sans" w:eastAsia="Salesforce Sans" w:hAnsi="Salesforce Sans"/>
        </w:rPr>
      </w:pPr>
      <w:bookmarkStart w:colFirst="0" w:colLast="0" w:name="_ktgwmqe2xm2q" w:id="9"/>
      <w:bookmarkEnd w:id="9"/>
      <w:r w:rsidDel="00000000" w:rsidR="00000000" w:rsidRPr="00000000">
        <w:rPr>
          <w:rFonts w:ascii="Salesforce Sans" w:cs="Salesforce Sans" w:eastAsia="Salesforce Sans" w:hAnsi="Salesforce Sans"/>
          <w:rtl w:val="0"/>
        </w:rPr>
        <w:t xml:space="preserve">Use Case Scenario</w:t>
      </w:r>
    </w:p>
    <w:p w:rsidR="00000000" w:rsidDel="00000000" w:rsidP="00000000" w:rsidRDefault="00000000" w:rsidRPr="00000000" w14:paraId="00000077">
      <w:pPr>
        <w:ind w:left="0" w:firstLine="0"/>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78">
      <w:pPr>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The contact center scenario follows an agent and the manager roles in a healthcare system patient access scenario. The solution p</w:t>
      </w:r>
      <w:r w:rsidDel="00000000" w:rsidR="00000000" w:rsidRPr="00000000">
        <w:rPr>
          <w:rFonts w:ascii="Salesforce Sans" w:cs="Salesforce Sans" w:eastAsia="Salesforce Sans" w:hAnsi="Salesforce Sans"/>
          <w:rtl w:val="0"/>
        </w:rPr>
        <w:t xml:space="preserve">ersonalizes the contact center experiences for the patient, and connects patients to the right care and services faster. Agents easily leverage relevant clinical and non-clinical data from multiple systems on a single screen.</w:t>
      </w:r>
      <w:r w:rsidDel="00000000" w:rsidR="00000000" w:rsidRPr="00000000">
        <w:rPr>
          <w:rtl w:val="0"/>
        </w:rPr>
      </w:r>
    </w:p>
    <w:p w:rsidR="00000000" w:rsidDel="00000000" w:rsidP="00000000" w:rsidRDefault="00000000" w:rsidRPr="00000000" w14:paraId="00000079">
      <w:pPr>
        <w:ind w:left="0" w:firstLine="0"/>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7A">
      <w:pPr>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Pr>
        <w:drawing>
          <wp:inline distB="114300" distT="114300" distL="114300" distR="114300">
            <wp:extent cx="5943600" cy="3365500"/>
            <wp:effectExtent b="0" l="0" r="0" t="0"/>
            <wp:docPr id="1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firstLine="0"/>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7C">
      <w:pPr>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Note that step 5 around CTI integration is an add-on.  </w:t>
      </w:r>
    </w:p>
    <w:p w:rsidR="00000000" w:rsidDel="00000000" w:rsidP="00000000" w:rsidRDefault="00000000" w:rsidRPr="00000000" w14:paraId="0000007D">
      <w:pPr>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og</w:t>
      </w:r>
      <w:r w:rsidDel="00000000" w:rsidR="00000000" w:rsidRPr="00000000">
        <w:rPr>
          <w:rFonts w:ascii="Salesforce Sans" w:cs="Salesforce Sans" w:eastAsia="Salesforce Sans" w:hAnsi="Salesforce Sans"/>
        </w:rPr>
        <w:drawing>
          <wp:inline distB="114300" distT="114300" distL="114300" distR="114300">
            <wp:extent cx="5943600" cy="3352800"/>
            <wp:effectExtent b="0" l="0" r="0" t="0"/>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Pr>
        <w:drawing>
          <wp:inline distB="114300" distT="114300" distL="114300" distR="114300">
            <wp:extent cx="5943600" cy="3327400"/>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80">
      <w:pPr>
        <w:pStyle w:val="Heading1"/>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Salesforce Sans" w:cs="Salesforce Sans" w:eastAsia="Salesforce Sans" w:hAnsi="Salesforce Sans"/>
        </w:rPr>
      </w:pPr>
      <w:bookmarkStart w:colFirst="0" w:colLast="0" w:name="_o0fquc5irnm0" w:id="10"/>
      <w:bookmarkEnd w:id="10"/>
      <w:r w:rsidDel="00000000" w:rsidR="00000000" w:rsidRPr="00000000">
        <w:rPr>
          <w:rFonts w:ascii="Salesforce Sans" w:cs="Salesforce Sans" w:eastAsia="Salesforce Sans" w:hAnsi="Salesforce Sans"/>
          <w:rtl w:val="0"/>
        </w:rPr>
        <w:t xml:space="preserve">Best Practices: Recommendations for </w:t>
      </w:r>
      <w:r w:rsidDel="00000000" w:rsidR="00000000" w:rsidRPr="00000000">
        <w:rPr>
          <w:rFonts w:ascii="Salesforce Sans" w:cs="Salesforce Sans" w:eastAsia="Salesforce Sans" w:hAnsi="Salesforce Sans"/>
          <w:color w:val="009ddc"/>
          <w:sz w:val="44"/>
          <w:szCs w:val="44"/>
          <w:rtl w:val="0"/>
        </w:rPr>
        <w:t xml:space="preserve">Configuration </w:t>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pStyle w:val="Heading4"/>
        <w:rPr/>
      </w:pPr>
      <w:bookmarkStart w:colFirst="0" w:colLast="0" w:name="_mj0jajqq2u33" w:id="11"/>
      <w:bookmarkEnd w:id="11"/>
      <w:r w:rsidDel="00000000" w:rsidR="00000000" w:rsidRPr="00000000">
        <w:rPr>
          <w:rFonts w:ascii="Salesforce Sans" w:cs="Salesforce Sans" w:eastAsia="Salesforce Sans" w:hAnsi="Salesforce Sans"/>
          <w:rtl w:val="0"/>
        </w:rPr>
        <w:t xml:space="preserve">Installation Guide</w:t>
      </w:r>
      <w:r w:rsidDel="00000000" w:rsidR="00000000" w:rsidRPr="00000000">
        <w:rPr>
          <w:rtl w:val="0"/>
        </w:rPr>
      </w:r>
    </w:p>
    <w:p w:rsidR="00000000" w:rsidDel="00000000" w:rsidP="00000000" w:rsidRDefault="00000000" w:rsidRPr="00000000" w14:paraId="00000083">
      <w:pPr>
        <w:tabs>
          <w:tab w:val="right" w:pos="9360"/>
        </w:tabs>
        <w:spacing w:after="0" w:before="80" w:line="240" w:lineRule="auto"/>
        <w:ind w:left="0" w:firstLine="0"/>
        <w:rPr>
          <w:b w:val="1"/>
          <w:color w:val="000000"/>
        </w:rPr>
      </w:pPr>
      <w:r w:rsidDel="00000000" w:rsidR="00000000" w:rsidRPr="00000000">
        <w:rPr>
          <w:rtl w:val="0"/>
        </w:rPr>
        <w:t xml:space="preserve">Please reference the </w:t>
      </w:r>
      <w:hyperlink r:id="rId16">
        <w:r w:rsidDel="00000000" w:rsidR="00000000" w:rsidRPr="00000000">
          <w:rPr>
            <w:b w:val="1"/>
            <w:color w:val="000000"/>
            <w:rtl w:val="0"/>
          </w:rPr>
          <w:t xml:space="preserve">Contact Center App Accelerator for Health Cloud  -  Installation Instructions</w:t>
        </w:r>
      </w:hyperlink>
      <w:r w:rsidDel="00000000" w:rsidR="00000000" w:rsidRPr="00000000">
        <w:rPr>
          <w:b w:val="1"/>
          <w:color w:val="000000"/>
          <w:rtl w:val="0"/>
        </w:rPr>
        <w:t xml:space="preserve"> </w:t>
      </w:r>
      <w:r w:rsidDel="00000000" w:rsidR="00000000" w:rsidRPr="00000000">
        <w:rPr>
          <w:color w:val="000000"/>
          <w:rtl w:val="0"/>
        </w:rPr>
        <w:t xml:space="preserve">for the below information:</w:t>
      </w:r>
      <w:r w:rsidDel="00000000" w:rsidR="00000000" w:rsidRPr="00000000">
        <w:rPr>
          <w:b w:val="1"/>
          <w:color w:val="000000"/>
          <w:rtl w:val="0"/>
        </w:rPr>
        <w:tab/>
      </w:r>
      <w:hyperlink r:id="rId17">
        <w:r w:rsidDel="00000000" w:rsidR="00000000" w:rsidRPr="00000000">
          <w:rPr>
            <w:b w:val="1"/>
            <w:color w:val="000000"/>
            <w:rtl w:val="0"/>
          </w:rPr>
          <w:t xml:space="preserve">1</w:t>
        </w:r>
      </w:hyperlink>
      <w:r w:rsidDel="00000000" w:rsidR="00000000" w:rsidRPr="00000000">
        <w:rPr>
          <w:rtl w:val="0"/>
        </w:rPr>
      </w:r>
    </w:p>
    <w:p w:rsidR="00000000" w:rsidDel="00000000" w:rsidP="00000000" w:rsidRDefault="00000000" w:rsidRPr="00000000" w14:paraId="00000084">
      <w:pPr>
        <w:tabs>
          <w:tab w:val="right" w:pos="9360"/>
        </w:tabs>
        <w:spacing w:after="0" w:before="60" w:line="240" w:lineRule="auto"/>
        <w:ind w:left="360" w:firstLine="0"/>
        <w:rPr>
          <w:color w:val="000000"/>
        </w:rPr>
      </w:pPr>
      <w:hyperlink r:id="rId18">
        <w:r w:rsidDel="00000000" w:rsidR="00000000" w:rsidRPr="00000000">
          <w:rPr>
            <w:color w:val="000000"/>
            <w:rtl w:val="0"/>
          </w:rPr>
          <w:t xml:space="preserve">Pre-Installation Instructions:</w:t>
        </w:r>
      </w:hyperlink>
      <w:r w:rsidDel="00000000" w:rsidR="00000000" w:rsidRPr="00000000">
        <w:rPr>
          <w:color w:val="000000"/>
          <w:rtl w:val="0"/>
        </w:rPr>
        <w:tab/>
      </w:r>
      <w:hyperlink r:id="rId19">
        <w:r w:rsidDel="00000000" w:rsidR="00000000" w:rsidRPr="00000000">
          <w:rPr>
            <w:color w:val="000000"/>
            <w:rtl w:val="0"/>
          </w:rPr>
          <w:t xml:space="preserve">2</w:t>
        </w:r>
      </w:hyperlink>
      <w:r w:rsidDel="00000000" w:rsidR="00000000" w:rsidRPr="00000000">
        <w:rPr>
          <w:rtl w:val="0"/>
        </w:rPr>
      </w:r>
    </w:p>
    <w:p w:rsidR="00000000" w:rsidDel="00000000" w:rsidP="00000000" w:rsidRDefault="00000000" w:rsidRPr="00000000" w14:paraId="00000085">
      <w:pPr>
        <w:tabs>
          <w:tab w:val="right" w:pos="9360"/>
        </w:tabs>
        <w:spacing w:after="0" w:before="60" w:line="240" w:lineRule="auto"/>
        <w:ind w:left="360" w:firstLine="0"/>
        <w:rPr>
          <w:color w:val="000000"/>
        </w:rPr>
      </w:pPr>
      <w:hyperlink r:id="rId20">
        <w:r w:rsidDel="00000000" w:rsidR="00000000" w:rsidRPr="00000000">
          <w:rPr>
            <w:color w:val="000000"/>
            <w:rtl w:val="0"/>
          </w:rPr>
          <w:t xml:space="preserve">Installation Steps:</w:t>
        </w:r>
      </w:hyperlink>
      <w:r w:rsidDel="00000000" w:rsidR="00000000" w:rsidRPr="00000000">
        <w:rPr>
          <w:color w:val="000000"/>
          <w:rtl w:val="0"/>
        </w:rPr>
        <w:tab/>
      </w:r>
      <w:hyperlink r:id="rId21">
        <w:r w:rsidDel="00000000" w:rsidR="00000000" w:rsidRPr="00000000">
          <w:rPr>
            <w:color w:val="000000"/>
            <w:rtl w:val="0"/>
          </w:rPr>
          <w:t xml:space="preserve">2</w:t>
        </w:r>
      </w:hyperlink>
      <w:r w:rsidDel="00000000" w:rsidR="00000000" w:rsidRPr="00000000">
        <w:rPr>
          <w:rtl w:val="0"/>
        </w:rPr>
      </w:r>
    </w:p>
    <w:p w:rsidR="00000000" w:rsidDel="00000000" w:rsidP="00000000" w:rsidRDefault="00000000" w:rsidRPr="00000000" w14:paraId="00000086">
      <w:pPr>
        <w:tabs>
          <w:tab w:val="right" w:pos="9360"/>
        </w:tabs>
        <w:spacing w:after="0" w:before="60" w:line="240" w:lineRule="auto"/>
        <w:ind w:left="360" w:firstLine="0"/>
        <w:rPr>
          <w:color w:val="000000"/>
        </w:rPr>
      </w:pPr>
      <w:hyperlink r:id="rId22">
        <w:r w:rsidDel="00000000" w:rsidR="00000000" w:rsidRPr="00000000">
          <w:rPr>
            <w:color w:val="000000"/>
            <w:rtl w:val="0"/>
          </w:rPr>
          <w:t xml:space="preserve">Post Installation Instructions:</w:t>
        </w:r>
      </w:hyperlink>
      <w:r w:rsidDel="00000000" w:rsidR="00000000" w:rsidRPr="00000000">
        <w:rPr>
          <w:color w:val="000000"/>
          <w:rtl w:val="0"/>
        </w:rPr>
        <w:tab/>
      </w:r>
      <w:hyperlink r:id="rId23">
        <w:r w:rsidDel="00000000" w:rsidR="00000000" w:rsidRPr="00000000">
          <w:rPr>
            <w:color w:val="000000"/>
            <w:rtl w:val="0"/>
          </w:rPr>
          <w:t xml:space="preserve">3</w:t>
        </w:r>
      </w:hyperlink>
      <w:r w:rsidDel="00000000" w:rsidR="00000000" w:rsidRPr="00000000">
        <w:rPr>
          <w:rtl w:val="0"/>
        </w:rPr>
      </w:r>
    </w:p>
    <w:p w:rsidR="00000000" w:rsidDel="00000000" w:rsidP="00000000" w:rsidRDefault="00000000" w:rsidRPr="00000000" w14:paraId="00000087">
      <w:pPr>
        <w:tabs>
          <w:tab w:val="right" w:pos="9360"/>
        </w:tabs>
        <w:spacing w:after="80" w:before="60" w:line="240" w:lineRule="auto"/>
        <w:ind w:left="360" w:firstLine="0"/>
        <w:rPr/>
      </w:pPr>
      <w:hyperlink r:id="rId24">
        <w:r w:rsidDel="00000000" w:rsidR="00000000" w:rsidRPr="00000000">
          <w:rPr>
            <w:color w:val="000000"/>
            <w:rtl w:val="0"/>
          </w:rPr>
          <w:t xml:space="preserve">Unmanaged Package Component Inventory</w:t>
        </w:r>
      </w:hyperlink>
      <w:r w:rsidDel="00000000" w:rsidR="00000000" w:rsidRPr="00000000">
        <w:rPr>
          <w:color w:val="000000"/>
          <w:rtl w:val="0"/>
        </w:rPr>
        <w:tab/>
      </w:r>
      <w:hyperlink r:id="rId25">
        <w:r w:rsidDel="00000000" w:rsidR="00000000" w:rsidRPr="00000000">
          <w:rPr>
            <w:color w:val="000000"/>
            <w:rtl w:val="0"/>
          </w:rPr>
          <w:t xml:space="preserve">7</w:t>
        </w:r>
      </w:hyperlink>
      <w:r w:rsidDel="00000000" w:rsidR="00000000" w:rsidRPr="00000000">
        <w:rPr>
          <w:rtl w:val="0"/>
        </w:rPr>
      </w:r>
    </w:p>
    <w:p w:rsidR="00000000" w:rsidDel="00000000" w:rsidP="00000000" w:rsidRDefault="00000000" w:rsidRPr="00000000" w14:paraId="00000088">
      <w:pPr>
        <w:ind w:left="0" w:firstLine="0"/>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89">
      <w:pPr>
        <w:pStyle w:val="Heading4"/>
        <w:rPr>
          <w:rFonts w:ascii="Salesforce Sans" w:cs="Salesforce Sans" w:eastAsia="Salesforce Sans" w:hAnsi="Salesforce Sans"/>
        </w:rPr>
      </w:pPr>
      <w:bookmarkStart w:colFirst="0" w:colLast="0" w:name="_5060q7drqpp" w:id="12"/>
      <w:bookmarkEnd w:id="12"/>
      <w:r w:rsidDel="00000000" w:rsidR="00000000" w:rsidRPr="00000000">
        <w:rPr>
          <w:rFonts w:ascii="Salesforce Sans" w:cs="Salesforce Sans" w:eastAsia="Salesforce Sans" w:hAnsi="Salesforce Sans"/>
          <w:rtl w:val="0"/>
        </w:rPr>
        <w:t xml:space="preserve">Integration</w:t>
      </w:r>
    </w:p>
    <w:p w:rsidR="00000000" w:rsidDel="00000000" w:rsidP="00000000" w:rsidRDefault="00000000" w:rsidRPr="00000000" w14:paraId="0000008A">
      <w:pPr>
        <w:shd w:fill="ffffff" w:val="clear"/>
        <w:spacing w:before="200" w:lineRule="auto"/>
        <w:ind w:left="0" w:firstLine="0"/>
        <w:rPr/>
      </w:pPr>
      <w:r w:rsidDel="00000000" w:rsidR="00000000" w:rsidRPr="00000000">
        <w:rPr>
          <w:rtl w:val="0"/>
        </w:rPr>
        <w:t xml:space="preserve">Salesforce Technical Architect (TA) assessments are available for healthcare organizations interested in real-time integrations to explore options such as Mulesoft and AppX Partner Solutions.</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200" w:line="276" w:lineRule="auto"/>
        <w:ind w:left="0" w:right="0" w:firstLine="0"/>
        <w:jc w:val="left"/>
        <w:rPr>
          <w:rFonts w:ascii="Salesforce Sans" w:cs="Salesforce Sans" w:eastAsia="Salesforce Sans" w:hAnsi="Salesforce Sans"/>
          <w:color w:val="080707"/>
          <w:sz w:val="21"/>
          <w:szCs w:val="21"/>
        </w:rPr>
      </w:pPr>
      <w:r w:rsidDel="00000000" w:rsidR="00000000" w:rsidRPr="00000000">
        <w:rPr>
          <w:rtl w:val="0"/>
        </w:rPr>
        <w:t xml:space="preserve">Computer </w:t>
      </w:r>
      <w:r w:rsidDel="00000000" w:rsidR="00000000" w:rsidRPr="00000000">
        <w:rPr>
          <w:rtl w:val="0"/>
        </w:rPr>
        <w:t xml:space="preserve">telephony</w:t>
      </w:r>
      <w:r w:rsidDel="00000000" w:rsidR="00000000" w:rsidRPr="00000000">
        <w:rPr>
          <w:rtl w:val="0"/>
        </w:rPr>
        <w:t xml:space="preserve"> </w:t>
      </w:r>
      <w:r w:rsidDel="00000000" w:rsidR="00000000" w:rsidRPr="00000000">
        <w:rPr>
          <w:rtl w:val="0"/>
        </w:rPr>
        <w:t xml:space="preserve">integration</w:t>
      </w:r>
      <w:r w:rsidDel="00000000" w:rsidR="00000000" w:rsidRPr="00000000">
        <w:rPr>
          <w:rtl w:val="0"/>
        </w:rPr>
        <w:t xml:space="preserve"> (</w:t>
      </w:r>
      <w:r w:rsidDel="00000000" w:rsidR="00000000" w:rsidRPr="00000000">
        <w:rPr>
          <w:rtl w:val="0"/>
        </w:rPr>
        <w:t xml:space="preserve">CTI) is an add-on option at the healthcare organization’s discretion. Salesforce </w:t>
      </w:r>
      <w:r w:rsidDel="00000000" w:rsidR="00000000" w:rsidRPr="00000000">
        <w:rPr>
          <w:rFonts w:ascii="Salesforce Sans" w:cs="Salesforce Sans" w:eastAsia="Salesforce Sans" w:hAnsi="Salesforce Sans"/>
          <w:color w:val="080707"/>
          <w:sz w:val="21"/>
          <w:szCs w:val="21"/>
          <w:rtl w:val="0"/>
        </w:rPr>
        <w:t xml:space="preserve">Open CTI is a JavaScript API that allows organizations to build and integrate third-party computer-telephony integration (CTI) systems with Salesforce Call Center. To display CTI functionality in Salesforce, Open CTI uses browsers as clients. With Open CTI, organizations can make calls from a softphone directly in Salesforce without installing CTI adapters on your machines. Learn more about Salesforce Open CTI </w:t>
      </w:r>
      <w:hyperlink r:id="rId26">
        <w:r w:rsidDel="00000000" w:rsidR="00000000" w:rsidRPr="00000000">
          <w:rPr>
            <w:rFonts w:ascii="Salesforce Sans" w:cs="Salesforce Sans" w:eastAsia="Salesforce Sans" w:hAnsi="Salesforce Sans"/>
            <w:color w:val="1155cc"/>
            <w:sz w:val="21"/>
            <w:szCs w:val="21"/>
            <w:u w:val="single"/>
            <w:rtl w:val="0"/>
          </w:rPr>
          <w:t xml:space="preserve">here</w:t>
        </w:r>
      </w:hyperlink>
      <w:r w:rsidDel="00000000" w:rsidR="00000000" w:rsidRPr="00000000">
        <w:rPr>
          <w:rFonts w:ascii="Salesforce Sans" w:cs="Salesforce Sans" w:eastAsia="Salesforce Sans" w:hAnsi="Salesforce Sans"/>
          <w:color w:val="080707"/>
          <w:sz w:val="21"/>
          <w:szCs w:val="21"/>
          <w:rtl w:val="0"/>
        </w:rPr>
        <w:t xml:space="preserve">.</w:t>
      </w:r>
    </w:p>
    <w:p w:rsidR="00000000" w:rsidDel="00000000" w:rsidP="00000000" w:rsidRDefault="00000000" w:rsidRPr="00000000" w14:paraId="0000008C">
      <w:pPr>
        <w:pStyle w:val="Heading4"/>
        <w:rPr>
          <w:rFonts w:ascii="Salesforce Sans" w:cs="Salesforce Sans" w:eastAsia="Salesforce Sans" w:hAnsi="Salesforce Sans"/>
        </w:rPr>
      </w:pPr>
      <w:bookmarkStart w:colFirst="0" w:colLast="0" w:name="_pejq5ewx7ev3" w:id="13"/>
      <w:bookmarkEnd w:id="13"/>
      <w:r w:rsidDel="00000000" w:rsidR="00000000" w:rsidRPr="00000000">
        <w:rPr>
          <w:rFonts w:ascii="Salesforce Sans" w:cs="Salesforce Sans" w:eastAsia="Salesforce Sans" w:hAnsi="Salesforce Sans"/>
          <w:rtl w:val="0"/>
        </w:rPr>
        <w:t xml:space="preserve">Modeling Patients</w:t>
      </w:r>
    </w:p>
    <w:p w:rsidR="00000000" w:rsidDel="00000000" w:rsidP="00000000" w:rsidRDefault="00000000" w:rsidRPr="00000000" w14:paraId="0000008D">
      <w:pPr>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Members and patients must be modeled as person accounts to fully utilize Health Cloud functionality. If the health system already has an org with members and patients modeled as contacts, moving to person accounts will require thoughtful consideration to ensure a smooth transition factoring in some considerations. Please see more information</w:t>
      </w:r>
      <w:r w:rsidDel="00000000" w:rsidR="00000000" w:rsidRPr="00000000">
        <w:rPr>
          <w:rFonts w:ascii="Salesforce Sans" w:cs="Salesforce Sans" w:eastAsia="Salesforce Sans" w:hAnsi="Salesforce Sans"/>
          <w:rtl w:val="0"/>
        </w:rPr>
        <w:t xml:space="preserve"> </w:t>
      </w:r>
      <w:hyperlink r:id="rId27">
        <w:r w:rsidDel="00000000" w:rsidR="00000000" w:rsidRPr="00000000">
          <w:rPr>
            <w:rFonts w:ascii="Salesforce Sans" w:cs="Salesforce Sans" w:eastAsia="Salesforce Sans" w:hAnsi="Salesforce Sans"/>
            <w:color w:val="1155cc"/>
            <w:u w:val="single"/>
            <w:rtl w:val="0"/>
          </w:rPr>
          <w:t xml:space="preserve">here</w:t>
        </w:r>
      </w:hyperlink>
      <w:r w:rsidDel="00000000" w:rsidR="00000000" w:rsidRPr="00000000">
        <w:rPr>
          <w:rFonts w:ascii="Salesforce Sans" w:cs="Salesforce Sans" w:eastAsia="Salesforce Sans" w:hAnsi="Salesforce Sans"/>
          <w:rtl w:val="0"/>
        </w:rPr>
        <w:t xml:space="preserve">.</w:t>
      </w:r>
      <w:r w:rsidDel="00000000" w:rsidR="00000000" w:rsidRPr="00000000">
        <w:rPr>
          <w:rtl w:val="0"/>
        </w:rPr>
      </w:r>
    </w:p>
    <w:p w:rsidR="00000000" w:rsidDel="00000000" w:rsidP="00000000" w:rsidRDefault="00000000" w:rsidRPr="00000000" w14:paraId="0000008E">
      <w:pPr>
        <w:ind w:left="0" w:firstLine="0"/>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8F">
      <w:pPr>
        <w:pStyle w:val="Heading4"/>
        <w:ind w:left="0" w:firstLine="0"/>
        <w:rPr>
          <w:rFonts w:ascii="Salesforce Sans" w:cs="Salesforce Sans" w:eastAsia="Salesforce Sans" w:hAnsi="Salesforce Sans"/>
        </w:rPr>
      </w:pPr>
      <w:bookmarkStart w:colFirst="0" w:colLast="0" w:name="_m4rie2us87lj" w:id="14"/>
      <w:bookmarkEnd w:id="14"/>
      <w:r w:rsidDel="00000000" w:rsidR="00000000" w:rsidRPr="00000000">
        <w:rPr>
          <w:rtl w:val="0"/>
        </w:rPr>
      </w:r>
    </w:p>
    <w:p w:rsidR="00000000" w:rsidDel="00000000" w:rsidP="00000000" w:rsidRDefault="00000000" w:rsidRPr="00000000" w14:paraId="00000090">
      <w:pPr>
        <w:pStyle w:val="Heading4"/>
        <w:ind w:left="0" w:firstLine="0"/>
        <w:rPr>
          <w:rFonts w:ascii="Salesforce Sans" w:cs="Salesforce Sans" w:eastAsia="Salesforce Sans" w:hAnsi="Salesforce Sans"/>
        </w:rPr>
      </w:pPr>
      <w:bookmarkStart w:colFirst="0" w:colLast="0" w:name="_k7a6dgbpcx6p" w:id="15"/>
      <w:bookmarkEnd w:id="15"/>
      <w:r w:rsidDel="00000000" w:rsidR="00000000" w:rsidRPr="00000000">
        <w:rPr>
          <w:rFonts w:ascii="Salesforce Sans" w:cs="Salesforce Sans" w:eastAsia="Salesforce Sans" w:hAnsi="Salesforce Sans"/>
          <w:rtl w:val="0"/>
        </w:rPr>
        <w:t xml:space="preserve">Modeling Providers</w:t>
      </w:r>
    </w:p>
    <w:p w:rsidR="00000000" w:rsidDel="00000000" w:rsidP="00000000" w:rsidRDefault="00000000" w:rsidRPr="00000000" w14:paraId="00000091">
      <w:pPr>
        <w:pageBreakBefore w:val="0"/>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When modeling different personas within Health Cloud, there are best practices you should follow based on healthcare organization goals. Modeling practitioners, or providers, is no exception.</w:t>
      </w:r>
    </w:p>
    <w:p w:rsidR="00000000" w:rsidDel="00000000" w:rsidP="00000000" w:rsidRDefault="00000000" w:rsidRPr="00000000" w14:paraId="00000092">
      <w:pPr>
        <w:pageBreakBefore w:val="0"/>
        <w:ind w:left="0" w:firstLine="0"/>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93">
      <w:pPr>
        <w:pageBreakBefore w:val="0"/>
        <w:ind w:left="0" w:firstLine="0"/>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94">
      <w:pPr>
        <w:pageBreakBefore w:val="0"/>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Pr>
        <w:drawing>
          <wp:inline distB="114300" distT="114300" distL="114300" distR="114300">
            <wp:extent cx="5943600" cy="3594100"/>
            <wp:effectExtent b="0" l="0" r="0" t="0"/>
            <wp:docPr id="7"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ageBreakBefore w:val="0"/>
        <w:ind w:left="0" w:firstLine="0"/>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96">
      <w:pPr>
        <w:pStyle w:val="Heading4"/>
        <w:ind w:left="0" w:firstLine="0"/>
        <w:rPr/>
      </w:pPr>
      <w:bookmarkStart w:colFirst="0" w:colLast="0" w:name="_jgonyqb2bvsw" w:id="16"/>
      <w:bookmarkEnd w:id="16"/>
      <w:r w:rsidDel="00000000" w:rsidR="00000000" w:rsidRPr="00000000">
        <w:rPr>
          <w:rtl w:val="0"/>
        </w:rPr>
        <w:t xml:space="preserve">Decision Table for Providers and Additional Considerations</w:t>
      </w:r>
    </w:p>
    <w:p w:rsidR="00000000" w:rsidDel="00000000" w:rsidP="00000000" w:rsidRDefault="00000000" w:rsidRPr="00000000" w14:paraId="00000097">
      <w:pPr>
        <w:ind w:left="0" w:firstLine="0"/>
        <w:rPr/>
      </w:pPr>
      <w:r w:rsidDel="00000000" w:rsidR="00000000" w:rsidRPr="00000000">
        <w:rPr>
          <w:rtl w:val="0"/>
        </w:rPr>
        <w:t xml:space="preserve">How to interpret the following table:</w:t>
      </w:r>
    </w:p>
    <w:p w:rsidR="00000000" w:rsidDel="00000000" w:rsidP="00000000" w:rsidRDefault="00000000" w:rsidRPr="00000000" w14:paraId="00000098">
      <w:pPr>
        <w:ind w:left="0" w:firstLine="0"/>
        <w:rPr/>
      </w:pPr>
      <w:r w:rsidDel="00000000" w:rsidR="00000000" w:rsidRPr="00000000">
        <w:rPr>
          <w:rtl w:val="0"/>
        </w:rPr>
        <w:t xml:space="preserve">Salesforce offers multiple ways to model providers so it’s important to understand the near-term and long-term needs of the organization to make the best choice for modeling providers. The questions below offer a guide to this decision making. Once you’ve completed answering the questions for your implementation, add which column represents more answers that align with your implementation. The column your answer appears in indicates the better choice for modeling providers, and ideally all of your answers are in the same column. For example, a New Org that will not have External Apps Licenses (Partner Licenses) for providers would typically use Person Accounts for providers, whereas an existing org that already has modeled providers as Contacts and will use External Apps Licenses for those providers would typically model providers as Contacts. A “Yes” in both columns indicate that the functionality is supported by both Contacts and Person Accounts and is usually not a factor in the decision. </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ageBreakBefore w:val="0"/>
        <w:ind w:left="0" w:firstLine="0"/>
        <w:rPr>
          <w:rFonts w:ascii="Salesforce Sans" w:cs="Salesforce Sans" w:eastAsia="Salesforce Sans" w:hAnsi="Salesforce Sans"/>
        </w:rPr>
      </w:pP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45"/>
        <w:gridCol w:w="1350"/>
        <w:gridCol w:w="2265"/>
        <w:tblGridChange w:id="0">
          <w:tblGrid>
            <w:gridCol w:w="5745"/>
            <w:gridCol w:w="1350"/>
            <w:gridCol w:w="2265"/>
          </w:tblGrid>
        </w:tblGridChange>
      </w:tblGrid>
      <w:tr>
        <w:trPr>
          <w:cantSplit w:val="0"/>
          <w:trHeight w:val="515.52" w:hRule="atLeast"/>
          <w:tblHeader w:val="1"/>
        </w:trPr>
        <w:tc>
          <w:tcPr>
            <w:tcBorders>
              <w:top w:color="e6e6e6" w:space="0" w:sz="6" w:val="single"/>
              <w:left w:color="e6e6e6" w:space="0" w:sz="6" w:val="single"/>
              <w:bottom w:color="e6e6e6" w:space="0" w:sz="6" w:val="single"/>
              <w:right w:color="e6e6e6" w:space="0" w:sz="6" w:val="single"/>
            </w:tcBorders>
            <w:shd w:fill="00a1e0"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color w:val="f4f4f4"/>
              </w:rPr>
            </w:pPr>
            <w:r w:rsidDel="00000000" w:rsidR="00000000" w:rsidRPr="00000000">
              <w:rPr>
                <w:rFonts w:ascii="Salesforce Sans" w:cs="Salesforce Sans" w:eastAsia="Salesforce Sans" w:hAnsi="Salesforce Sans"/>
                <w:b w:val="1"/>
                <w:color w:val="f4f4f4"/>
                <w:rtl w:val="0"/>
              </w:rPr>
              <w:t xml:space="preserve">Question</w:t>
            </w:r>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shd w:fill="00a1e0" w:val="clear"/>
            <w:tcMar>
              <w:top w:w="100.0" w:type="dxa"/>
              <w:left w:w="100.0" w:type="dxa"/>
              <w:bottom w:w="100.0" w:type="dxa"/>
              <w:right w:w="100.0" w:type="dxa"/>
            </w:tcMar>
            <w:vAlign w:val="top"/>
          </w:tcPr>
          <w:p w:rsidR="00000000" w:rsidDel="00000000" w:rsidP="00000000" w:rsidRDefault="00000000" w:rsidRPr="00000000" w14:paraId="0000009C">
            <w:pPr>
              <w:ind w:left="0" w:firstLine="0"/>
              <w:jc w:val="center"/>
              <w:rPr>
                <w:rFonts w:ascii="Salesforce Sans" w:cs="Salesforce Sans" w:eastAsia="Salesforce Sans" w:hAnsi="Salesforce Sans"/>
                <w:color w:val="f4f4f4"/>
              </w:rPr>
            </w:pPr>
            <w:r w:rsidDel="00000000" w:rsidR="00000000" w:rsidRPr="00000000">
              <w:rPr>
                <w:rFonts w:ascii="Salesforce Sans" w:cs="Salesforce Sans" w:eastAsia="Salesforce Sans" w:hAnsi="Salesforce Sans"/>
                <w:b w:val="1"/>
                <w:color w:val="f4f4f4"/>
                <w:rtl w:val="0"/>
              </w:rPr>
              <w:t xml:space="preserve">Contacts</w:t>
            </w:r>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shd w:fill="00a1e0" w:val="clear"/>
            <w:tcMar>
              <w:top w:w="100.0" w:type="dxa"/>
              <w:left w:w="100.0" w:type="dxa"/>
              <w:bottom w:w="100.0" w:type="dxa"/>
              <w:right w:w="100.0" w:type="dxa"/>
            </w:tcMar>
            <w:vAlign w:val="top"/>
          </w:tcPr>
          <w:p w:rsidR="00000000" w:rsidDel="00000000" w:rsidP="00000000" w:rsidRDefault="00000000" w:rsidRPr="00000000" w14:paraId="0000009D">
            <w:pPr>
              <w:ind w:left="0" w:firstLine="0"/>
              <w:jc w:val="center"/>
              <w:rPr>
                <w:rFonts w:ascii="Salesforce Sans" w:cs="Salesforce Sans" w:eastAsia="Salesforce Sans" w:hAnsi="Salesforce Sans"/>
                <w:color w:val="f4f4f4"/>
              </w:rPr>
            </w:pPr>
            <w:r w:rsidDel="00000000" w:rsidR="00000000" w:rsidRPr="00000000">
              <w:rPr>
                <w:rFonts w:ascii="Salesforce Sans" w:cs="Salesforce Sans" w:eastAsia="Salesforce Sans" w:hAnsi="Salesforce Sans"/>
                <w:b w:val="1"/>
                <w:color w:val="f4f4f4"/>
                <w:rtl w:val="0"/>
              </w:rPr>
              <w:t xml:space="preserve">Person Accounts</w:t>
            </w:r>
            <w:r w:rsidDel="00000000" w:rsidR="00000000" w:rsidRPr="00000000">
              <w:rPr>
                <w:rtl w:val="0"/>
              </w:rPr>
            </w:r>
          </w:p>
        </w:tc>
      </w:tr>
      <w:tr>
        <w:trPr>
          <w:cantSplit w:val="0"/>
          <w:trHeight w:val="51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9E">
            <w:pPr>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Is this a net new implementation? (New Org)</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9F">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No</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A0">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r>
      <w:tr>
        <w:trPr>
          <w:cantSplit w:val="0"/>
          <w:trHeight w:val="78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A1">
            <w:pPr>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Do you currently have providers modeled in your system as Contacts?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A2">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A3">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r>
      <w:tr>
        <w:trPr>
          <w:cantSplit w:val="0"/>
          <w:trHeight w:val="78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A4">
            <w:pPr>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Are you using, or planning, to use Experience Cloud with Partner Licenses or External Apps Licenses (a provider referral entry portal)?</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A5">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A6">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No</w:t>
            </w:r>
          </w:p>
        </w:tc>
      </w:tr>
      <w:tr>
        <w:trPr>
          <w:cantSplit w:val="0"/>
          <w:trHeight w:val="51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A7">
            <w:pPr>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Do you need to leverage Timeline for Physicians?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A8">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No</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A9">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r>
      <w:tr>
        <w:trPr>
          <w:cantSplit w:val="0"/>
          <w:trHeight w:val="51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AA">
            <w:pPr>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Do you need to connect to Marketing Cloud?</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AB">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AC">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r>
      <w:tr>
        <w:trPr>
          <w:cantSplit w:val="0"/>
          <w:trHeight w:val="51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AD">
            <w:pPr>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Do you need to leverage Life Events for Physicians?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AE">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AF">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r>
      <w:tr>
        <w:trPr>
          <w:cantSplit w:val="0"/>
          <w:trHeight w:val="51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B0">
            <w:pPr>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Do you treat providers as independent entities?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B1">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No</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B2">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r>
      <w:tr>
        <w:trPr>
          <w:cantSplit w:val="0"/>
          <w:trHeight w:val="51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B3">
            <w:pPr>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Do you need to associate Providers with Care Programs?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B4">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B5">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r>
      <w:tr>
        <w:trPr>
          <w:cantSplit w:val="0"/>
          <w:trHeight w:val="78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B6">
            <w:pPr>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Do you need to manage Territory Management via Providers, rather than at a facility level?</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B7">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No</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B8">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r>
      <w:tr>
        <w:trPr>
          <w:cantSplit w:val="0"/>
          <w:trHeight w:val="78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B9">
            <w:pPr>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Do you need to leverage the OOTB "Create Provider" API with Health Cloud?</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BA">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BB">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r>
      <w:tr>
        <w:trPr>
          <w:cantSplit w:val="0"/>
          <w:trHeight w:val="78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BC">
            <w:pPr>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Do you plan on using PNM's Network Participation flow / component?</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BD">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BE">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r>
      <w:tr>
        <w:trPr>
          <w:cantSplit w:val="0"/>
          <w:trHeight w:val="78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BF">
            <w:pPr>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Are you planning on using Intelligent Appointment Management?</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C0">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C1">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r>
      <w:tr>
        <w:trPr>
          <w:cantSplit w:val="0"/>
          <w:trHeight w:val="51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C2">
            <w:pPr>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Are you fully mapping to the 'Practitioner' FHIR resource?</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C3">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C4">
            <w:pPr>
              <w:ind w:left="0" w:firstLine="0"/>
              <w:jc w:val="center"/>
              <w:rPr>
                <w:rFonts w:ascii="Salesforce Sans" w:cs="Salesforce Sans" w:eastAsia="Salesforce Sans" w:hAnsi="Salesforce Sans"/>
              </w:rPr>
            </w:pPr>
            <w:hyperlink r:id="rId29">
              <w:r w:rsidDel="00000000" w:rsidR="00000000" w:rsidRPr="00000000">
                <w:rPr>
                  <w:rFonts w:ascii="Salesforce Sans" w:cs="Salesforce Sans" w:eastAsia="Salesforce Sans" w:hAnsi="Salesforce Sans"/>
                  <w:color w:val="1155cc"/>
                  <w:u w:val="single"/>
                  <w:rtl w:val="0"/>
                </w:rPr>
                <w:t xml:space="preserve">Yes</w:t>
              </w:r>
            </w:hyperlink>
            <w:r w:rsidDel="00000000" w:rsidR="00000000" w:rsidRPr="00000000">
              <w:rPr>
                <w:rtl w:val="0"/>
              </w:rPr>
            </w:r>
          </w:p>
        </w:tc>
      </w:tr>
      <w:tr>
        <w:trPr>
          <w:cantSplit w:val="0"/>
          <w:trHeight w:val="78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C5">
            <w:pPr>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Do you need to leverage delegated access within Experience Cloud?</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C6">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C7">
            <w:pPr>
              <w:ind w:left="0" w:firstLine="0"/>
              <w:jc w:val="center"/>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No</w:t>
            </w:r>
          </w:p>
        </w:tc>
      </w:tr>
    </w:tbl>
    <w:p w:rsidR="00000000" w:rsidDel="00000000" w:rsidP="00000000" w:rsidRDefault="00000000" w:rsidRPr="00000000" w14:paraId="000000C8">
      <w:pPr>
        <w:pageBreakBefore w:val="0"/>
        <w:ind w:left="0" w:firstLine="0"/>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C9">
      <w:pPr>
        <w:pStyle w:val="Heading4"/>
        <w:keepNext w:val="0"/>
        <w:keepLines w:val="0"/>
        <w:spacing w:after="80" w:before="280" w:lineRule="auto"/>
        <w:ind w:left="0" w:firstLine="0"/>
        <w:rPr/>
      </w:pPr>
      <w:bookmarkStart w:colFirst="0" w:colLast="0" w:name="_icihym10e4e8" w:id="17"/>
      <w:bookmarkEnd w:id="17"/>
      <w:r w:rsidDel="00000000" w:rsidR="00000000" w:rsidRPr="00000000">
        <w:rPr>
          <w:rtl w:val="0"/>
        </w:rPr>
        <w:t xml:space="preserve">Previous Modeling of Providers</w:t>
      </w:r>
    </w:p>
    <w:p w:rsidR="00000000" w:rsidDel="00000000" w:rsidP="00000000" w:rsidRDefault="00000000" w:rsidRPr="00000000" w14:paraId="000000CA">
      <w:pPr>
        <w:numPr>
          <w:ilvl w:val="0"/>
          <w:numId w:val="5"/>
        </w:numPr>
        <w:spacing w:after="0" w:afterAutospacing="0" w:before="240" w:lineRule="auto"/>
        <w:ind w:firstLine="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In the past, providers were only recommended to be modeled as Contacts. With that, a number of legacy orgs have providers modeled that way. If a customer is apprehensive to the change, be aware of some of the features they may not have access to if they model as Contacts.</w:t>
      </w:r>
    </w:p>
    <w:p w:rsidR="00000000" w:rsidDel="00000000" w:rsidP="00000000" w:rsidRDefault="00000000" w:rsidRPr="00000000" w14:paraId="000000CB">
      <w:pPr>
        <w:numPr>
          <w:ilvl w:val="0"/>
          <w:numId w:val="5"/>
        </w:numPr>
        <w:spacing w:after="240" w:before="0" w:beforeAutospacing="0" w:lineRule="auto"/>
        <w:ind w:firstLine="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You can migrate providers from Contacts to Person Accounts but the work involved can be significant, depending on the code and configuration involving Accounts and Contacts. All will need to be evaluated for potential changes to accommodate the new Person Account Record Type and data will need to be exported and reimported.</w:t>
      </w:r>
    </w:p>
    <w:p w:rsidR="00000000" w:rsidDel="00000000" w:rsidP="00000000" w:rsidRDefault="00000000" w:rsidRPr="00000000" w14:paraId="000000CC">
      <w:pPr>
        <w:spacing w:after="240" w:before="240" w:lineRule="auto"/>
        <w:ind w:left="0" w:firstLine="0"/>
        <w:rPr>
          <w:b w:val="1"/>
          <w:color w:val="009ddc"/>
          <w:sz w:val="24"/>
          <w:szCs w:val="24"/>
        </w:rPr>
      </w:pPr>
      <w:r w:rsidDel="00000000" w:rsidR="00000000" w:rsidRPr="00000000">
        <w:rPr>
          <w:b w:val="1"/>
          <w:color w:val="009ddc"/>
          <w:sz w:val="24"/>
          <w:szCs w:val="24"/>
          <w:rtl w:val="0"/>
        </w:rPr>
        <w:t xml:space="preserve">Patient Engagement</w:t>
      </w:r>
    </w:p>
    <w:p w:rsidR="00000000" w:rsidDel="00000000" w:rsidP="00000000" w:rsidRDefault="00000000" w:rsidRPr="00000000" w14:paraId="000000CD">
      <w:pPr>
        <w:shd w:fill="ffffff" w:val="clear"/>
        <w:spacing w:before="200" w:lineRule="auto"/>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Healthcare organizations should leverage</w:t>
      </w:r>
      <w:r w:rsidDel="00000000" w:rsidR="00000000" w:rsidRPr="00000000">
        <w:rPr>
          <w:rFonts w:ascii="Salesforce Sans" w:cs="Salesforce Sans" w:eastAsia="Salesforce Sans" w:hAnsi="Salesforce Sans"/>
          <w:rtl w:val="0"/>
        </w:rPr>
        <w:t xml:space="preserve"> core capabilities for Patient Engagement messaging including:</w:t>
      </w:r>
    </w:p>
    <w:p w:rsidR="00000000" w:rsidDel="00000000" w:rsidP="00000000" w:rsidRDefault="00000000" w:rsidRPr="00000000" w14:paraId="000000CE">
      <w:pPr>
        <w:numPr>
          <w:ilvl w:val="0"/>
          <w:numId w:val="1"/>
        </w:numPr>
        <w:spacing w:after="0" w:afterAutospacing="0" w:before="200" w:lineRule="auto"/>
        <w:ind w:firstLine="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Automation templates to send SMS post call</w:t>
      </w:r>
    </w:p>
    <w:p w:rsidR="00000000" w:rsidDel="00000000" w:rsidP="00000000" w:rsidRDefault="00000000" w:rsidRPr="00000000" w14:paraId="000000CF">
      <w:pPr>
        <w:numPr>
          <w:ilvl w:val="0"/>
          <w:numId w:val="1"/>
        </w:numPr>
        <w:spacing w:before="0" w:beforeAutospacing="0" w:lineRule="auto"/>
        <w:ind w:firstLine="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Add patients to standard Campaign objects</w:t>
      </w:r>
    </w:p>
    <w:p w:rsidR="00000000" w:rsidDel="00000000" w:rsidP="00000000" w:rsidRDefault="00000000" w:rsidRPr="00000000" w14:paraId="000000D0">
      <w:pPr>
        <w:spacing w:after="240" w:before="240" w:lineRule="auto"/>
        <w:ind w:left="0" w:firstLine="0"/>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D1">
      <w:pPr>
        <w:pStyle w:val="Heading4"/>
        <w:keepNext w:val="0"/>
        <w:keepLines w:val="0"/>
        <w:spacing w:after="80" w:before="280" w:lineRule="auto"/>
        <w:ind w:left="0" w:firstLine="0"/>
        <w:rPr/>
      </w:pPr>
      <w:bookmarkStart w:colFirst="0" w:colLast="0" w:name="_cxc2vzur9pxk" w:id="18"/>
      <w:bookmarkEnd w:id="18"/>
      <w:r w:rsidDel="00000000" w:rsidR="00000000" w:rsidRPr="00000000">
        <w:rPr>
          <w:rtl w:val="0"/>
        </w:rPr>
        <w:t xml:space="preserve">Timeline</w:t>
      </w:r>
    </w:p>
    <w:p w:rsidR="00000000" w:rsidDel="00000000" w:rsidP="00000000" w:rsidRDefault="00000000" w:rsidRPr="00000000" w14:paraId="000000D2">
      <w:pPr>
        <w:numPr>
          <w:ilvl w:val="0"/>
          <w:numId w:val="2"/>
        </w:numPr>
        <w:spacing w:after="0" w:afterAutospacing="0" w:before="240" w:lineRule="auto"/>
        <w:ind w:firstLine="360"/>
        <w:rPr>
          <w:rFonts w:ascii="Salesforce Sans" w:cs="Salesforce Sans" w:eastAsia="Salesforce Sans" w:hAnsi="Salesforce Sans"/>
        </w:rPr>
      </w:pPr>
      <w:r w:rsidDel="00000000" w:rsidR="00000000" w:rsidRPr="00000000">
        <w:rPr>
          <w:rFonts w:ascii="Salesforce Sans" w:cs="Salesforce Sans" w:eastAsia="Salesforce Sans" w:hAnsi="Salesforce Sans"/>
          <w:color w:val="1d1c1d"/>
          <w:rtl w:val="0"/>
        </w:rPr>
        <w:t xml:space="preserve">While this component is generally used for Patient Management, it can also be leveraged to chronologically display events for a Provider, if modeled as Person Accounts.</w:t>
      </w:r>
    </w:p>
    <w:p w:rsidR="00000000" w:rsidDel="00000000" w:rsidP="00000000" w:rsidRDefault="00000000" w:rsidRPr="00000000" w14:paraId="000000D3">
      <w:pPr>
        <w:numPr>
          <w:ilvl w:val="1"/>
          <w:numId w:val="2"/>
        </w:numPr>
        <w:spacing w:after="0" w:afterAutospacing="0" w:before="0" w:beforeAutospacing="0" w:lineRule="auto"/>
        <w:ind w:left="1440" w:hanging="360"/>
        <w:rPr>
          <w:rFonts w:ascii="Salesforce Sans" w:cs="Salesforce Sans" w:eastAsia="Salesforce Sans" w:hAnsi="Salesforce Sans"/>
        </w:rPr>
      </w:pPr>
      <w:r w:rsidDel="00000000" w:rsidR="00000000" w:rsidRPr="00000000">
        <w:rPr>
          <w:rFonts w:ascii="Salesforce Sans" w:cs="Salesforce Sans" w:eastAsia="Salesforce Sans" w:hAnsi="Salesforce Sans"/>
          <w:color w:val="1d1c1d"/>
          <w:rtl w:val="0"/>
        </w:rPr>
        <w:t xml:space="preserve">If the provider is a Contact, then the timeline on the provider contact page will lookup to the business account and will display all events related to the business account (such as the Hospital or clinic). Any events related to the Contact won’t work.</w:t>
      </w:r>
    </w:p>
    <w:p w:rsidR="00000000" w:rsidDel="00000000" w:rsidP="00000000" w:rsidRDefault="00000000" w:rsidRPr="00000000" w14:paraId="000000D4">
      <w:pPr>
        <w:numPr>
          <w:ilvl w:val="0"/>
          <w:numId w:val="2"/>
        </w:numPr>
        <w:spacing w:after="0" w:afterAutospacing="0" w:before="0" w:beforeAutospacing="0" w:lineRule="auto"/>
        <w:ind w:firstLine="360"/>
        <w:rPr>
          <w:rFonts w:ascii="Salesforce Sans" w:cs="Salesforce Sans" w:eastAsia="Salesforce Sans" w:hAnsi="Salesforce Sans"/>
        </w:rPr>
      </w:pPr>
      <w:r w:rsidDel="00000000" w:rsidR="00000000" w:rsidRPr="00000000">
        <w:rPr>
          <w:rFonts w:ascii="Salesforce Sans" w:cs="Salesforce Sans" w:eastAsia="Salesforce Sans" w:hAnsi="Salesforce Sans"/>
          <w:color w:val="1d1c1d"/>
          <w:rtl w:val="0"/>
        </w:rPr>
        <w:t xml:space="preserve">The Timeline component works on an object page which is related to an Account and displays the timeline events associated with that account.</w:t>
      </w:r>
    </w:p>
    <w:p w:rsidR="00000000" w:rsidDel="00000000" w:rsidP="00000000" w:rsidRDefault="00000000" w:rsidRPr="00000000" w14:paraId="000000D5">
      <w:pPr>
        <w:numPr>
          <w:ilvl w:val="0"/>
          <w:numId w:val="2"/>
        </w:numPr>
        <w:spacing w:after="240" w:before="0" w:beforeAutospacing="0" w:lineRule="auto"/>
        <w:ind w:firstLine="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Setup </w:t>
      </w:r>
      <w:r w:rsidDel="00000000" w:rsidR="00000000" w:rsidRPr="00000000">
        <w:rPr>
          <w:rFonts w:ascii="Salesforce Sans" w:cs="Salesforce Sans" w:eastAsia="Salesforce Sans" w:hAnsi="Salesforce Sans"/>
          <w:rtl w:val="0"/>
        </w:rPr>
        <w:t xml:space="preserve">unique</w:t>
      </w:r>
      <w:r w:rsidDel="00000000" w:rsidR="00000000" w:rsidRPr="00000000">
        <w:rPr>
          <w:rFonts w:ascii="Salesforce Sans" w:cs="Salesforce Sans" w:eastAsia="Salesforce Sans" w:hAnsi="Salesforce Sans"/>
          <w:rtl w:val="0"/>
        </w:rPr>
        <w:t xml:space="preserve"> Timeline View Configurations for the Provider (compared to the Patient) making sure you’re looking up to the Account side of the Provider relationship for the data you want to show. </w:t>
      </w:r>
    </w:p>
    <w:p w:rsidR="00000000" w:rsidDel="00000000" w:rsidP="00000000" w:rsidRDefault="00000000" w:rsidRPr="00000000" w14:paraId="000000D6">
      <w:pPr>
        <w:pStyle w:val="Heading4"/>
        <w:keepNext w:val="0"/>
        <w:keepLines w:val="0"/>
        <w:spacing w:after="80" w:before="280" w:lineRule="auto"/>
        <w:ind w:left="0" w:firstLine="0"/>
        <w:rPr/>
      </w:pPr>
      <w:bookmarkStart w:colFirst="0" w:colLast="0" w:name="_9a2xvpfpoh5m" w:id="19"/>
      <w:bookmarkEnd w:id="19"/>
      <w:r w:rsidDel="00000000" w:rsidR="00000000" w:rsidRPr="00000000">
        <w:rPr>
          <w:rtl w:val="0"/>
        </w:rPr>
        <w:t xml:space="preserve">Providers as Individual Entities</w:t>
      </w:r>
    </w:p>
    <w:p w:rsidR="00000000" w:rsidDel="00000000" w:rsidP="00000000" w:rsidRDefault="00000000" w:rsidRPr="00000000" w14:paraId="000000D7">
      <w:pPr>
        <w:numPr>
          <w:ilvl w:val="0"/>
          <w:numId w:val="4"/>
        </w:numPr>
        <w:spacing w:after="0" w:afterAutospacing="0" w:before="240" w:lineRule="auto"/>
        <w:ind w:firstLine="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Many times, Providers are looked at as individual, independent entities, who have practicing rights at a number of locations. They have their own unique identification number, such as a NPI, which follows them regardless of where they work. They also may not have a primary location, the way traditional Business Accounts and Contacts are modeled.</w:t>
      </w:r>
    </w:p>
    <w:p w:rsidR="00000000" w:rsidDel="00000000" w:rsidP="00000000" w:rsidRDefault="00000000" w:rsidRPr="00000000" w14:paraId="000000D8">
      <w:pPr>
        <w:numPr>
          <w:ilvl w:val="0"/>
          <w:numId w:val="4"/>
        </w:numPr>
        <w:spacing w:after="240" w:before="0" w:beforeAutospacing="0" w:lineRule="auto"/>
        <w:ind w:firstLine="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This reasoning alone would drive a company towards a Person Account model if no other considerations are being looked at.</w:t>
      </w:r>
    </w:p>
    <w:p w:rsidR="00000000" w:rsidDel="00000000" w:rsidP="00000000" w:rsidRDefault="00000000" w:rsidRPr="00000000" w14:paraId="000000D9">
      <w:pPr>
        <w:pStyle w:val="Heading4"/>
        <w:keepNext w:val="0"/>
        <w:keepLines w:val="0"/>
        <w:spacing w:after="80" w:before="280" w:lineRule="auto"/>
        <w:ind w:left="0" w:firstLine="0"/>
        <w:rPr/>
      </w:pPr>
      <w:bookmarkStart w:colFirst="0" w:colLast="0" w:name="_x4ip4cots1sz" w:id="20"/>
      <w:bookmarkEnd w:id="20"/>
      <w:r w:rsidDel="00000000" w:rsidR="00000000" w:rsidRPr="00000000">
        <w:rPr>
          <w:rtl w:val="0"/>
        </w:rPr>
        <w:t xml:space="preserve">Providers and Care Programs</w:t>
      </w:r>
    </w:p>
    <w:p w:rsidR="00000000" w:rsidDel="00000000" w:rsidP="00000000" w:rsidRDefault="00000000" w:rsidRPr="00000000" w14:paraId="000000DA">
      <w:pPr>
        <w:numPr>
          <w:ilvl w:val="0"/>
          <w:numId w:val="6"/>
        </w:numPr>
        <w:spacing w:after="0" w:afterAutospacing="0" w:before="240" w:lineRule="auto"/>
        <w:ind w:firstLine="360"/>
        <w:rPr>
          <w:rFonts w:ascii="Salesforce Sans" w:cs="Salesforce Sans" w:eastAsia="Salesforce Sans" w:hAnsi="Salesforce Sans"/>
        </w:rPr>
      </w:pPr>
      <w:r w:rsidDel="00000000" w:rsidR="00000000" w:rsidRPr="00000000">
        <w:rPr>
          <w:rFonts w:ascii="Salesforce Sans" w:cs="Salesforce Sans" w:eastAsia="Salesforce Sans" w:hAnsi="Salesforce Sans"/>
          <w:color w:val="333333"/>
          <w:rtl w:val="0"/>
        </w:rPr>
        <w:t xml:space="preserve">The Care Program functionality has a supporting object called ‘Care Program Provider’. This object is also referenced in the out of the box guided flow template (Program Enrollment Flow) from Health Cloud.</w:t>
      </w:r>
    </w:p>
    <w:p w:rsidR="00000000" w:rsidDel="00000000" w:rsidP="00000000" w:rsidRDefault="00000000" w:rsidRPr="00000000" w14:paraId="000000DB">
      <w:pPr>
        <w:numPr>
          <w:ilvl w:val="1"/>
          <w:numId w:val="6"/>
        </w:numPr>
        <w:spacing w:after="240" w:before="0" w:beforeAutospacing="0" w:lineRule="auto"/>
        <w:ind w:left="1440" w:hanging="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The Care Program Provider object has two options to build a relationship with a provider. You can leverage the AccountID field (Account Lookup) OR the CareProgramContactId (Contact Lookup) to appropriately make the relationship.</w:t>
      </w:r>
    </w:p>
    <w:p w:rsidR="00000000" w:rsidDel="00000000" w:rsidP="00000000" w:rsidRDefault="00000000" w:rsidRPr="00000000" w14:paraId="000000DC">
      <w:pPr>
        <w:pStyle w:val="Heading4"/>
        <w:keepNext w:val="0"/>
        <w:keepLines w:val="0"/>
        <w:spacing w:after="80" w:before="280" w:lineRule="auto"/>
        <w:ind w:left="0" w:firstLine="0"/>
        <w:rPr/>
      </w:pPr>
      <w:bookmarkStart w:colFirst="0" w:colLast="0" w:name="_7p4uxovsj0wm" w:id="21"/>
      <w:bookmarkEnd w:id="21"/>
      <w:r w:rsidDel="00000000" w:rsidR="00000000" w:rsidRPr="00000000">
        <w:rPr>
          <w:rtl w:val="0"/>
        </w:rPr>
        <w:t xml:space="preserve">Security + Data Storage</w:t>
      </w:r>
    </w:p>
    <w:p w:rsidR="00000000" w:rsidDel="00000000" w:rsidP="00000000" w:rsidRDefault="00000000" w:rsidRPr="00000000" w14:paraId="000000DD">
      <w:pPr>
        <w:numPr>
          <w:ilvl w:val="0"/>
          <w:numId w:val="10"/>
        </w:numPr>
        <w:spacing w:after="0" w:afterAutospacing="0" w:before="240" w:lineRule="auto"/>
        <w:ind w:firstLine="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If person accounts are enabled, the organization-wide default sharing must be set in one of the following ways:</w:t>
      </w:r>
    </w:p>
    <w:p w:rsidR="00000000" w:rsidDel="00000000" w:rsidP="00000000" w:rsidRDefault="00000000" w:rsidRPr="00000000" w14:paraId="000000DE">
      <w:pPr>
        <w:numPr>
          <w:ilvl w:val="1"/>
          <w:numId w:val="10"/>
        </w:numPr>
        <w:spacing w:after="0" w:afterAutospacing="0" w:before="0" w:beforeAutospacing="0" w:lineRule="auto"/>
        <w:ind w:left="1440" w:hanging="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Contacts are set to Controlled by Parent, </w:t>
      </w:r>
    </w:p>
    <w:p w:rsidR="00000000" w:rsidDel="00000000" w:rsidP="00000000" w:rsidRDefault="00000000" w:rsidRPr="00000000" w14:paraId="000000DF">
      <w:pPr>
        <w:numPr>
          <w:ilvl w:val="1"/>
          <w:numId w:val="10"/>
        </w:numPr>
        <w:spacing w:after="0" w:afterAutospacing="0" w:before="0" w:beforeAutospacing="0" w:lineRule="auto"/>
        <w:ind w:left="1440" w:hanging="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or accounts and contacts are both set to Private.</w:t>
      </w:r>
    </w:p>
    <w:p w:rsidR="00000000" w:rsidDel="00000000" w:rsidP="00000000" w:rsidRDefault="00000000" w:rsidRPr="00000000" w14:paraId="000000E0">
      <w:pPr>
        <w:numPr>
          <w:ilvl w:val="0"/>
          <w:numId w:val="10"/>
        </w:numPr>
        <w:spacing w:after="240" w:before="0" w:beforeAutospacing="0" w:lineRule="auto"/>
        <w:ind w:firstLine="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Data storage is higher with Person Accounts as there is both an underlying Contact and Account record.</w:t>
      </w:r>
    </w:p>
    <w:p w:rsidR="00000000" w:rsidDel="00000000" w:rsidP="00000000" w:rsidRDefault="00000000" w:rsidRPr="00000000" w14:paraId="000000E1">
      <w:pPr>
        <w:pStyle w:val="Heading4"/>
        <w:keepNext w:val="0"/>
        <w:keepLines w:val="0"/>
        <w:spacing w:after="80" w:before="280" w:lineRule="auto"/>
        <w:ind w:left="0" w:firstLine="0"/>
        <w:rPr/>
      </w:pPr>
      <w:bookmarkStart w:colFirst="0" w:colLast="0" w:name="_yi823imesjqs" w:id="22"/>
      <w:bookmarkEnd w:id="22"/>
      <w:r w:rsidDel="00000000" w:rsidR="00000000" w:rsidRPr="00000000">
        <w:rPr>
          <w:rtl w:val="0"/>
        </w:rPr>
        <w:t xml:space="preserve">Managing Relationships</w:t>
      </w:r>
    </w:p>
    <w:p w:rsidR="00000000" w:rsidDel="00000000" w:rsidP="00000000" w:rsidRDefault="00000000" w:rsidRPr="00000000" w14:paraId="000000E2">
      <w:pPr>
        <w:numPr>
          <w:ilvl w:val="0"/>
          <w:numId w:val="3"/>
        </w:numPr>
        <w:spacing w:after="0" w:afterAutospacing="0" w:before="240" w:lineRule="auto"/>
        <w:ind w:firstLine="360"/>
        <w:rPr>
          <w:rFonts w:ascii="Salesforce Sans" w:cs="Salesforce Sans" w:eastAsia="Salesforce Sans" w:hAnsi="Salesforce Sans"/>
        </w:rPr>
      </w:pPr>
      <w:r w:rsidDel="00000000" w:rsidR="00000000" w:rsidRPr="00000000">
        <w:rPr>
          <w:rFonts w:ascii="Salesforce Sans" w:cs="Salesforce Sans" w:eastAsia="Salesforce Sans" w:hAnsi="Salesforce Sans"/>
          <w:color w:val="333333"/>
          <w:rtl w:val="0"/>
        </w:rPr>
        <w:t xml:space="preserve">Healthcare Practitioner Facility</w:t>
      </w:r>
    </w:p>
    <w:p w:rsidR="00000000" w:rsidDel="00000000" w:rsidP="00000000" w:rsidRDefault="00000000" w:rsidRPr="00000000" w14:paraId="000000E3">
      <w:pPr>
        <w:numPr>
          <w:ilvl w:val="1"/>
          <w:numId w:val="3"/>
        </w:numPr>
        <w:spacing w:after="0" w:afterAutospacing="0" w:before="0" w:beforeAutospacing="0" w:lineRule="auto"/>
        <w:ind w:left="1440" w:hanging="360"/>
        <w:rPr>
          <w:rFonts w:ascii="Salesforce Sans" w:cs="Salesforce Sans" w:eastAsia="Salesforce Sans" w:hAnsi="Salesforce Sans"/>
        </w:rPr>
      </w:pPr>
      <w:r w:rsidDel="00000000" w:rsidR="00000000" w:rsidRPr="00000000">
        <w:rPr>
          <w:rFonts w:ascii="Salesforce Sans" w:cs="Salesforce Sans" w:eastAsia="Salesforce Sans" w:hAnsi="Salesforce Sans"/>
          <w:color w:val="333333"/>
          <w:rtl w:val="0"/>
        </w:rPr>
        <w:t xml:space="preserve">Regardless of how providers are modeled, leverage this object to manage relationships between providers and the facilities or clinics they work at</w:t>
      </w:r>
    </w:p>
    <w:p w:rsidR="00000000" w:rsidDel="00000000" w:rsidP="00000000" w:rsidRDefault="00000000" w:rsidRPr="00000000" w14:paraId="000000E4">
      <w:pPr>
        <w:numPr>
          <w:ilvl w:val="1"/>
          <w:numId w:val="3"/>
        </w:numPr>
        <w:spacing w:after="0" w:afterAutospacing="0" w:before="0" w:beforeAutospacing="0" w:lineRule="auto"/>
        <w:ind w:left="1440" w:hanging="360"/>
        <w:rPr>
          <w:rFonts w:ascii="Salesforce Sans" w:cs="Salesforce Sans" w:eastAsia="Salesforce Sans" w:hAnsi="Salesforce Sans"/>
        </w:rPr>
      </w:pPr>
      <w:r w:rsidDel="00000000" w:rsidR="00000000" w:rsidRPr="00000000">
        <w:rPr>
          <w:rFonts w:ascii="Salesforce Sans" w:cs="Salesforce Sans" w:eastAsia="Salesforce Sans" w:hAnsi="Salesforce Sans"/>
          <w:color w:val="333333"/>
          <w:rtl w:val="0"/>
        </w:rPr>
        <w:t xml:space="preserve">Using this object is important for a number of downstream features, such as Provider Search and Intelligent Appointment Scheduling</w:t>
      </w:r>
    </w:p>
    <w:p w:rsidR="00000000" w:rsidDel="00000000" w:rsidP="00000000" w:rsidRDefault="00000000" w:rsidRPr="00000000" w14:paraId="000000E5">
      <w:pPr>
        <w:numPr>
          <w:ilvl w:val="0"/>
          <w:numId w:val="3"/>
        </w:numPr>
        <w:spacing w:after="0" w:afterAutospacing="0" w:before="0" w:beforeAutospacing="0" w:lineRule="auto"/>
        <w:ind w:firstLine="360"/>
        <w:rPr>
          <w:rFonts w:ascii="Salesforce Sans" w:cs="Salesforce Sans" w:eastAsia="Salesforce Sans" w:hAnsi="Salesforce Sans"/>
        </w:rPr>
      </w:pPr>
      <w:r w:rsidDel="00000000" w:rsidR="00000000" w:rsidRPr="00000000">
        <w:rPr>
          <w:rFonts w:ascii="Salesforce Sans" w:cs="Salesforce Sans" w:eastAsia="Salesforce Sans" w:hAnsi="Salesforce Sans"/>
          <w:color w:val="333333"/>
          <w:rtl w:val="0"/>
        </w:rPr>
        <w:t xml:space="preserve">Account to Contact</w:t>
      </w:r>
    </w:p>
    <w:p w:rsidR="00000000" w:rsidDel="00000000" w:rsidP="00000000" w:rsidRDefault="00000000" w:rsidRPr="00000000" w14:paraId="000000E6">
      <w:pPr>
        <w:numPr>
          <w:ilvl w:val="1"/>
          <w:numId w:val="3"/>
        </w:numPr>
        <w:spacing w:after="0" w:afterAutospacing="0" w:before="0" w:beforeAutospacing="0" w:lineRule="auto"/>
        <w:ind w:left="1440" w:hanging="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Leverage this object to manage relationships between non-clinical staff and non-primary facilities or clinics that support</w:t>
      </w:r>
    </w:p>
    <w:p w:rsidR="00000000" w:rsidDel="00000000" w:rsidP="00000000" w:rsidRDefault="00000000" w:rsidRPr="00000000" w14:paraId="000000E7">
      <w:pPr>
        <w:numPr>
          <w:ilvl w:val="2"/>
          <w:numId w:val="3"/>
        </w:numPr>
        <w:spacing w:after="0" w:afterAutospacing="0" w:before="0" w:beforeAutospacing="0" w:lineRule="auto"/>
        <w:ind w:left="2160" w:hanging="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Non-Primary due to the fact that non-clinical staff are modeled as Contacts and will have a standard Business Account to Contact relationship for primary relationships</w:t>
      </w:r>
    </w:p>
    <w:p w:rsidR="00000000" w:rsidDel="00000000" w:rsidP="00000000" w:rsidRDefault="00000000" w:rsidRPr="00000000" w14:paraId="000000E8">
      <w:pPr>
        <w:numPr>
          <w:ilvl w:val="1"/>
          <w:numId w:val="3"/>
        </w:numPr>
        <w:spacing w:after="0" w:afterAutospacing="0" w:before="0" w:beforeAutospacing="0" w:lineRule="auto"/>
        <w:ind w:left="1440" w:hanging="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Regardless of how providers are modeled, leverage this object to track non-working affiliations for providers, such as being members of the American Medical Association or American Academy of Family Physicians</w:t>
      </w:r>
    </w:p>
    <w:p w:rsidR="00000000" w:rsidDel="00000000" w:rsidP="00000000" w:rsidRDefault="00000000" w:rsidRPr="00000000" w14:paraId="000000E9">
      <w:pPr>
        <w:numPr>
          <w:ilvl w:val="0"/>
          <w:numId w:val="3"/>
        </w:numPr>
        <w:spacing w:after="0" w:afterAutospacing="0" w:before="0" w:beforeAutospacing="0" w:lineRule="auto"/>
        <w:ind w:firstLine="360"/>
        <w:rPr>
          <w:rFonts w:ascii="Salesforce Sans" w:cs="Salesforce Sans" w:eastAsia="Salesforce Sans" w:hAnsi="Salesforce Sans"/>
        </w:rPr>
      </w:pPr>
      <w:r w:rsidDel="00000000" w:rsidR="00000000" w:rsidRPr="00000000">
        <w:rPr>
          <w:rFonts w:ascii="Salesforce Sans" w:cs="Salesforce Sans" w:eastAsia="Salesforce Sans" w:hAnsi="Salesforce Sans"/>
          <w:color w:val="333333"/>
          <w:rtl w:val="0"/>
        </w:rPr>
        <w:t xml:space="preserve">Contact to Contact</w:t>
      </w:r>
    </w:p>
    <w:p w:rsidR="00000000" w:rsidDel="00000000" w:rsidP="00000000" w:rsidRDefault="00000000" w:rsidRPr="00000000" w14:paraId="000000EA">
      <w:pPr>
        <w:numPr>
          <w:ilvl w:val="1"/>
          <w:numId w:val="3"/>
        </w:numPr>
        <w:spacing w:after="0" w:afterAutospacing="0" w:before="0" w:beforeAutospacing="0" w:lineRule="auto"/>
        <w:ind w:left="1440" w:hanging="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When Providers are modeled as Person Accounts or Contacts, leverage this object to manage relationships between providers and non-clinical staff</w:t>
      </w:r>
    </w:p>
    <w:p w:rsidR="00000000" w:rsidDel="00000000" w:rsidP="00000000" w:rsidRDefault="00000000" w:rsidRPr="00000000" w14:paraId="000000EB">
      <w:pPr>
        <w:numPr>
          <w:ilvl w:val="2"/>
          <w:numId w:val="3"/>
        </w:numPr>
        <w:spacing w:after="0" w:afterAutospacing="0" w:before="0" w:beforeAutospacing="0" w:lineRule="auto"/>
        <w:ind w:left="2160" w:hanging="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Note for this setup - You have to edit the Contact-Contact Relationship Page Layout to add all relevant fields. You also should create a tab for Reciprocal Roles and their respective inverse relationship to be able to associate the roles (ex. Mentor/Mentee)</w:t>
      </w:r>
    </w:p>
    <w:p w:rsidR="00000000" w:rsidDel="00000000" w:rsidP="00000000" w:rsidRDefault="00000000" w:rsidRPr="00000000" w14:paraId="000000EC">
      <w:pPr>
        <w:numPr>
          <w:ilvl w:val="1"/>
          <w:numId w:val="3"/>
        </w:numPr>
        <w:spacing w:after="0" w:afterAutospacing="0" w:before="0" w:beforeAutospacing="0" w:lineRule="auto"/>
        <w:ind w:left="1440" w:hanging="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When Providers are modeled as Person Accounts or Contacts, leverage this relationship to manage provider to provider relationships (ex. mentor / mentee)</w:t>
      </w:r>
    </w:p>
    <w:p w:rsidR="00000000" w:rsidDel="00000000" w:rsidP="00000000" w:rsidRDefault="00000000" w:rsidRPr="00000000" w14:paraId="000000ED">
      <w:pPr>
        <w:numPr>
          <w:ilvl w:val="0"/>
          <w:numId w:val="3"/>
        </w:numPr>
        <w:spacing w:after="0" w:afterAutospacing="0" w:before="0" w:beforeAutospacing="0" w:lineRule="auto"/>
        <w:ind w:firstLine="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Account to Account</w:t>
      </w:r>
    </w:p>
    <w:p w:rsidR="00000000" w:rsidDel="00000000" w:rsidP="00000000" w:rsidRDefault="00000000" w:rsidRPr="00000000" w14:paraId="000000EE">
      <w:pPr>
        <w:numPr>
          <w:ilvl w:val="1"/>
          <w:numId w:val="3"/>
        </w:numPr>
        <w:spacing w:after="0" w:afterAutospacing="0" w:before="0" w:beforeAutospacing="0" w:lineRule="auto"/>
        <w:ind w:left="1440" w:hanging="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Leverage this object to track business account to business account relationships, such as affiliations</w:t>
      </w:r>
    </w:p>
    <w:p w:rsidR="00000000" w:rsidDel="00000000" w:rsidP="00000000" w:rsidRDefault="00000000" w:rsidRPr="00000000" w14:paraId="000000EF">
      <w:pPr>
        <w:numPr>
          <w:ilvl w:val="2"/>
          <w:numId w:val="3"/>
        </w:numPr>
        <w:spacing w:after="0" w:afterAutospacing="0" w:before="0" w:beforeAutospacing="0" w:lineRule="auto"/>
        <w:ind w:left="2160" w:hanging="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Note that there are specific objects for functionality, like Purchaser Group, available with Health Cloud</w:t>
      </w:r>
    </w:p>
    <w:p w:rsidR="00000000" w:rsidDel="00000000" w:rsidP="00000000" w:rsidRDefault="00000000" w:rsidRPr="00000000" w14:paraId="000000F0">
      <w:pPr>
        <w:numPr>
          <w:ilvl w:val="0"/>
          <w:numId w:val="3"/>
        </w:numPr>
        <w:spacing w:after="240" w:before="0" w:beforeAutospacing="0" w:lineRule="auto"/>
        <w:ind w:firstLine="36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Person Accounts can be related to Accounts and Contacts but that said, Parent Account, Reports to and View Hierarchy fields are not available.</w:t>
      </w:r>
    </w:p>
    <w:p w:rsidR="00000000" w:rsidDel="00000000" w:rsidP="00000000" w:rsidRDefault="00000000" w:rsidRPr="00000000" w14:paraId="000000F1">
      <w:pPr>
        <w:spacing w:after="240" w:before="240" w:lineRule="auto"/>
        <w:ind w:left="0" w:firstLine="0"/>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0F2">
      <w:pPr>
        <w:pStyle w:val="Heading4"/>
        <w:spacing w:after="240" w:before="240" w:lineRule="auto"/>
        <w:ind w:left="0" w:firstLine="0"/>
        <w:rPr>
          <w:rFonts w:ascii="Salesforce Sans" w:cs="Salesforce Sans" w:eastAsia="Salesforce Sans" w:hAnsi="Salesforce Sans"/>
        </w:rPr>
      </w:pPr>
      <w:bookmarkStart w:colFirst="0" w:colLast="0" w:name="_eo5uma2g4swn" w:id="23"/>
      <w:bookmarkEnd w:id="23"/>
      <w:r w:rsidDel="00000000" w:rsidR="00000000" w:rsidRPr="00000000">
        <w:rPr>
          <w:rFonts w:ascii="Salesforce Sans" w:cs="Salesforce Sans" w:eastAsia="Salesforce Sans" w:hAnsi="Salesforce Sans"/>
          <w:rtl w:val="0"/>
        </w:rPr>
        <w:t xml:space="preserve">Assessments Considerations</w:t>
      </w:r>
    </w:p>
    <w:p w:rsidR="00000000" w:rsidDel="00000000" w:rsidP="00000000" w:rsidRDefault="00000000" w:rsidRPr="00000000" w14:paraId="000000F3">
      <w:pPr>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Health Cloud includes unlimited survey responses and assessment functionality leveraging Salesforce Surveys. There are additional ways to capture assessments within Health Cloud as well.</w:t>
      </w:r>
    </w:p>
    <w:p w:rsidR="00000000" w:rsidDel="00000000" w:rsidP="00000000" w:rsidRDefault="00000000" w:rsidRPr="00000000" w14:paraId="000000F4">
      <w:pPr>
        <w:ind w:left="0" w:firstLine="0"/>
        <w:rPr>
          <w:rFonts w:ascii="Salesforce Sans" w:cs="Salesforce Sans" w:eastAsia="Salesforce Sans" w:hAnsi="Salesforce Sans"/>
        </w:rPr>
      </w:pPr>
      <w:r w:rsidDel="00000000" w:rsidR="00000000" w:rsidRPr="00000000">
        <w:rPr>
          <w:rtl w:val="0"/>
        </w:rPr>
      </w:r>
    </w:p>
    <w:tbl>
      <w:tblPr>
        <w:tblStyle w:val="Table2"/>
        <w:tblW w:w="935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74.814814814815"/>
        <w:gridCol w:w="3413.7037037037035"/>
        <w:gridCol w:w="3471.4814814814818"/>
        <w:tblGridChange w:id="0">
          <w:tblGrid>
            <w:gridCol w:w="2474.814814814815"/>
            <w:gridCol w:w="3413.7037037037035"/>
            <w:gridCol w:w="3471.4814814814818"/>
          </w:tblGrid>
        </w:tblGridChange>
      </w:tblGrid>
      <w:tr>
        <w:trPr>
          <w:cantSplit w:val="0"/>
          <w:trHeight w:val="515.52" w:hRule="atLeast"/>
          <w:tblHeader w:val="1"/>
        </w:trPr>
        <w:tc>
          <w:tcPr>
            <w:tcBorders>
              <w:top w:color="e6e6e6" w:space="0" w:sz="6" w:val="single"/>
              <w:left w:color="e6e6e6" w:space="0" w:sz="6" w:val="single"/>
              <w:bottom w:color="e6e6e6" w:space="0" w:sz="6" w:val="single"/>
              <w:right w:color="e6e6e6" w:space="0" w:sz="6" w:val="single"/>
            </w:tcBorders>
            <w:shd w:fill="00a1e0"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color w:val="f5f5f5"/>
              </w:rPr>
            </w:pPr>
            <w:r w:rsidDel="00000000" w:rsidR="00000000" w:rsidRPr="00000000">
              <w:rPr>
                <w:rFonts w:ascii="Salesforce Sans" w:cs="Salesforce Sans" w:eastAsia="Salesforce Sans" w:hAnsi="Salesforce Sans"/>
                <w:b w:val="1"/>
                <w:color w:val="f5f5f5"/>
                <w:rtl w:val="0"/>
              </w:rPr>
              <w:t xml:space="preserve">Option</w:t>
            </w:r>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shd w:fill="00a1e0"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color w:val="f5f5f5"/>
              </w:rPr>
            </w:pPr>
            <w:r w:rsidDel="00000000" w:rsidR="00000000" w:rsidRPr="00000000">
              <w:rPr>
                <w:rFonts w:ascii="Salesforce Sans" w:cs="Salesforce Sans" w:eastAsia="Salesforce Sans" w:hAnsi="Salesforce Sans"/>
                <w:b w:val="1"/>
                <w:color w:val="f5f5f5"/>
                <w:rtl w:val="0"/>
              </w:rPr>
              <w:t xml:space="preserve">Advantages</w:t>
            </w:r>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shd w:fill="00a1e0"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color w:val="f5f5f5"/>
              </w:rPr>
            </w:pPr>
            <w:r w:rsidDel="00000000" w:rsidR="00000000" w:rsidRPr="00000000">
              <w:rPr>
                <w:rFonts w:ascii="Salesforce Sans" w:cs="Salesforce Sans" w:eastAsia="Salesforce Sans" w:hAnsi="Salesforce Sans"/>
                <w:b w:val="1"/>
                <w:color w:val="f5f5f5"/>
                <w:rtl w:val="0"/>
              </w:rPr>
              <w:t xml:space="preserve">Considerations</w:t>
            </w:r>
            <w:r w:rsidDel="00000000" w:rsidR="00000000" w:rsidRPr="00000000">
              <w:rPr>
                <w:rtl w:val="0"/>
              </w:rPr>
            </w:r>
          </w:p>
        </w:tc>
      </w:tr>
      <w:tr>
        <w:trPr>
          <w:cantSplit w:val="0"/>
          <w:trHeight w:val="753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Salesforce Surveys (Assessments)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Pre-built to allow for scale in the number of surveys</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Versioning of Surveys / Question Response Data Model</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Can gather via Authenticated or Unauthenticated Site</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Ability for simple branching at a section and question level</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Ability to integrate with WhatsApp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Supports 10 question types</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Supports Merge Fields (Additional License Type)</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Supports Versioning</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Auto-Send on triggers / events in with Invitation Rules or Process Builder</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Ability to Pause and resume</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Branding Customizations</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Built-in analytics on survey responses</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Unlimited responses included with Health Cloud licenses</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Ability to export responses to CSV easily</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Ability to send via WhatsApp (Winter ’21)</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Limited reporting model</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Experience Cloud Site Setup Required</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No offline mobile format</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Inability to invert scales on responses</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Unauthenticated surveys require customization to associate -with the submitter (workaround)</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No OOTB scoring / risk analysis</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No access to "Question Bank"</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No ability to embed interactive images (ex. image of body to -select area of pain)</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Can only complete each survey one time. A new invitation -must be sent using the Survey Invitation API if you want users to take a survey multiple times (ex: wellness attestation)</w:t>
            </w:r>
          </w:p>
        </w:tc>
      </w:tr>
      <w:tr>
        <w:trPr>
          <w:cantSplit w:val="0"/>
          <w:trHeight w:val="321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Screen Flows + Parsing Out Data</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Flexibility in branching and decisions</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Flexibility in UI / can incorporate LWC</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Respective answers available in FHIR-standard objects related to the patient</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Ability to leverage SubFlows</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No additional cost</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Ability to expose in Experience Cloud</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Need custom object or something to junction the initial assessment - content is coming from</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No offline mobile format</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Flows were not created for complex assessments with a lot of questions</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Limited for complex / dynamic forms</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Scale issues potentially</w:t>
            </w:r>
          </w:p>
        </w:tc>
      </w:tr>
      <w:tr>
        <w:trPr>
          <w:cantSplit w:val="0"/>
          <w:trHeight w:val="294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Screen Flows + Clinical Assessment Response Object</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Flexibility in branching and decisions</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Flexibility in UI / can incorporate LWC</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Leverage existing HC object for responses</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Ability to leverage SubFlows</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No additional cost</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Ability to expose in Experience Cloud</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Limitations on 500 custom fields per object</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No offline mobile format</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Flows were not created for complex assessments with a lot of questions</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Limited for complex / dynamic forms</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Scale issues potentially</w:t>
            </w:r>
          </w:p>
        </w:tc>
      </w:tr>
      <w:tr>
        <w:trPr>
          <w:cantSplit w:val="0"/>
          <w:trHeight w:val="375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OmniScript</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Flexibility in branching and decisions</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Ability to run in a LWC container</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Ability to expose in Experience Cloud</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UI-first designer; higher flexibility in screen design (near pixel perfect)</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No offline mobile format</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Add-on SKU required</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DPA SKU is not HIPAA compliant</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HINS/PNM SKU is HIPAA compliant</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Need to data model to support responses (see flow object solutions above for options)</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Doesn't leverage Health Cloud Data model natively</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 Unable to deploy leveraging Change Sets</w:t>
            </w:r>
          </w:p>
        </w:tc>
      </w:tr>
    </w:tbl>
    <w:p w:rsidR="00000000" w:rsidDel="00000000" w:rsidP="00000000" w:rsidRDefault="00000000" w:rsidRPr="00000000" w14:paraId="00000136">
      <w:pPr>
        <w:ind w:left="0" w:firstLine="0"/>
        <w:rPr/>
      </w:pPr>
      <w:r w:rsidDel="00000000" w:rsidR="00000000" w:rsidRPr="00000000">
        <w:rPr>
          <w:rFonts w:ascii="Salesforce Sans" w:cs="Salesforce Sans" w:eastAsia="Salesforce Sans" w:hAnsi="Salesforce Sans"/>
          <w:rtl w:val="0"/>
        </w:rPr>
        <w:t xml:space="preserve">There are two  Feedback Management add-ons for surveys which provide additional functionality. Learn more about those </w:t>
      </w:r>
      <w:hyperlink r:id="rId30">
        <w:r w:rsidDel="00000000" w:rsidR="00000000" w:rsidRPr="00000000">
          <w:rPr>
            <w:rFonts w:ascii="Salesforce Sans" w:cs="Salesforce Sans" w:eastAsia="Salesforce Sans" w:hAnsi="Salesforce Sans"/>
            <w:color w:val="1155cc"/>
            <w:u w:val="single"/>
            <w:rtl w:val="0"/>
          </w:rPr>
          <w:t xml:space="preserve">here</w:t>
        </w:r>
      </w:hyperlink>
      <w:r w:rsidDel="00000000" w:rsidR="00000000" w:rsidRPr="00000000">
        <w:rPr>
          <w:rFonts w:ascii="Salesforce Sans" w:cs="Salesforce Sans" w:eastAsia="Salesforce Sans" w:hAnsi="Salesforce Sans"/>
          <w:rtl w:val="0"/>
        </w:rPr>
        <w:t xml:space="preserve">. </w:t>
      </w:r>
      <w:r w:rsidDel="00000000" w:rsidR="00000000" w:rsidRPr="00000000">
        <w:rPr>
          <w:rtl w:val="0"/>
        </w:rPr>
      </w:r>
    </w:p>
    <w:p w:rsidR="00000000" w:rsidDel="00000000" w:rsidP="00000000" w:rsidRDefault="00000000" w:rsidRPr="00000000" w14:paraId="00000137">
      <w:pPr>
        <w:pStyle w:val="Heading4"/>
        <w:ind w:left="0" w:firstLine="0"/>
        <w:rPr/>
      </w:pPr>
      <w:bookmarkStart w:colFirst="0" w:colLast="0" w:name="_vpnb541dc6on" w:id="24"/>
      <w:bookmarkEnd w:id="24"/>
      <w:r w:rsidDel="00000000" w:rsidR="00000000" w:rsidRPr="00000000">
        <w:rPr>
          <w:rtl w:val="0"/>
        </w:rPr>
        <w:t xml:space="preserve">Assessment Feature Matrix</w:t>
      </w:r>
    </w:p>
    <w:p w:rsidR="00000000" w:rsidDel="00000000" w:rsidP="00000000" w:rsidRDefault="00000000" w:rsidRPr="00000000" w14:paraId="00000138">
      <w:pPr>
        <w:ind w:left="0" w:firstLine="0"/>
        <w:rPr>
          <w:rFonts w:ascii="Salesforce Sans" w:cs="Salesforce Sans" w:eastAsia="Salesforce Sans" w:hAnsi="Salesforce Sans"/>
        </w:rPr>
      </w:pPr>
      <w:r w:rsidDel="00000000" w:rsidR="00000000" w:rsidRPr="00000000">
        <w:rPr>
          <w:rtl w:val="0"/>
        </w:rPr>
      </w:r>
    </w:p>
    <w:tbl>
      <w:tblPr>
        <w:tblStyle w:val="Table3"/>
        <w:tblW w:w="9363.46884899683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75"/>
        <w:gridCol w:w="2580"/>
        <w:gridCol w:w="1324.4350580781415"/>
        <w:gridCol w:w="1784.0337909186906"/>
        <w:tblGridChange w:id="0">
          <w:tblGrid>
            <w:gridCol w:w="3675"/>
            <w:gridCol w:w="2580"/>
            <w:gridCol w:w="1324.4350580781415"/>
            <w:gridCol w:w="1784.0337909186906"/>
          </w:tblGrid>
        </w:tblGridChange>
      </w:tblGrid>
      <w:tr>
        <w:trPr>
          <w:cantSplit w:val="0"/>
          <w:trHeight w:val="764.64" w:hRule="atLeast"/>
          <w:tblHeader w:val="1"/>
        </w:trPr>
        <w:tc>
          <w:tcPr>
            <w:tcBorders>
              <w:top w:color="e6e6e6" w:space="0" w:sz="6" w:val="single"/>
              <w:left w:color="e6e6e6" w:space="0" w:sz="6" w:val="single"/>
              <w:bottom w:color="e6e6e6" w:space="0" w:sz="6" w:val="single"/>
              <w:right w:color="e6e6e6" w:space="0" w:sz="6" w:val="single"/>
            </w:tcBorders>
            <w:shd w:fill="00a1e0"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b w:val="1"/>
                <w:color w:val="f5f5f5"/>
              </w:rPr>
            </w:pPr>
            <w:r w:rsidDel="00000000" w:rsidR="00000000" w:rsidRPr="00000000">
              <w:rPr>
                <w:rFonts w:ascii="Salesforce Sans" w:cs="Salesforce Sans" w:eastAsia="Salesforce Sans" w:hAnsi="Salesforce Sans"/>
                <w:b w:val="1"/>
                <w:color w:val="f5f5f5"/>
                <w:rtl w:val="0"/>
              </w:rPr>
              <w:t xml:space="preserve">Option</w:t>
            </w:r>
          </w:p>
        </w:tc>
        <w:tc>
          <w:tcPr>
            <w:tcBorders>
              <w:top w:color="e6e6e6" w:space="0" w:sz="6" w:val="single"/>
              <w:left w:color="e6e6e6" w:space="0" w:sz="6" w:val="single"/>
              <w:bottom w:color="e6e6e6" w:space="0" w:sz="6" w:val="single"/>
              <w:right w:color="e6e6e6" w:space="0" w:sz="6" w:val="single"/>
            </w:tcBorders>
            <w:shd w:fill="00a1e0" w:val="clear"/>
            <w:tcMar>
              <w:top w:w="100.0" w:type="dxa"/>
              <w:left w:w="100.0" w:type="dxa"/>
              <w:bottom w:w="100.0" w:type="dxa"/>
              <w:right w:w="100.0" w:type="dxa"/>
            </w:tcMar>
            <w:vAlign w:val="top"/>
          </w:tcPr>
          <w:p w:rsidR="00000000" w:rsidDel="00000000" w:rsidP="00000000" w:rsidRDefault="00000000" w:rsidRPr="00000000" w14:paraId="0000013A">
            <w:pPr>
              <w:ind w:left="0" w:firstLine="0"/>
              <w:jc w:val="center"/>
              <w:rPr>
                <w:rFonts w:ascii="Salesforce Sans" w:cs="Salesforce Sans" w:eastAsia="Salesforce Sans" w:hAnsi="Salesforce Sans"/>
                <w:color w:val="f5f5f5"/>
              </w:rPr>
            </w:pPr>
            <w:r w:rsidDel="00000000" w:rsidR="00000000" w:rsidRPr="00000000">
              <w:rPr>
                <w:rFonts w:ascii="Salesforce Sans" w:cs="Salesforce Sans" w:eastAsia="Salesforce Sans" w:hAnsi="Salesforce Sans"/>
                <w:b w:val="1"/>
                <w:color w:val="f5f5f5"/>
                <w:rtl w:val="0"/>
              </w:rPr>
              <w:t xml:space="preserve">Salesforce Surveys</w:t>
            </w:r>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shd w:fill="00a1e0" w:val="clear"/>
            <w:tcMar>
              <w:top w:w="100.0" w:type="dxa"/>
              <w:left w:w="100.0" w:type="dxa"/>
              <w:bottom w:w="100.0" w:type="dxa"/>
              <w:right w:w="100.0" w:type="dxa"/>
            </w:tcMar>
            <w:vAlign w:val="top"/>
          </w:tcPr>
          <w:p w:rsidR="00000000" w:rsidDel="00000000" w:rsidP="00000000" w:rsidRDefault="00000000" w:rsidRPr="00000000" w14:paraId="0000013B">
            <w:pPr>
              <w:ind w:left="0" w:firstLine="0"/>
              <w:jc w:val="center"/>
              <w:rPr>
                <w:rFonts w:ascii="Salesforce Sans" w:cs="Salesforce Sans" w:eastAsia="Salesforce Sans" w:hAnsi="Salesforce Sans"/>
                <w:color w:val="f5f5f5"/>
              </w:rPr>
            </w:pPr>
            <w:r w:rsidDel="00000000" w:rsidR="00000000" w:rsidRPr="00000000">
              <w:rPr>
                <w:rFonts w:ascii="Salesforce Sans" w:cs="Salesforce Sans" w:eastAsia="Salesforce Sans" w:hAnsi="Salesforce Sans"/>
                <w:b w:val="1"/>
                <w:color w:val="f5f5f5"/>
                <w:rtl w:val="0"/>
              </w:rPr>
              <w:t xml:space="preserve">Flows</w:t>
            </w:r>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shd w:fill="00a1e0" w:val="clear"/>
            <w:tcMar>
              <w:top w:w="100.0" w:type="dxa"/>
              <w:left w:w="100.0" w:type="dxa"/>
              <w:bottom w:w="100.0" w:type="dxa"/>
              <w:right w:w="100.0" w:type="dxa"/>
            </w:tcMar>
            <w:vAlign w:val="top"/>
          </w:tcPr>
          <w:p w:rsidR="00000000" w:rsidDel="00000000" w:rsidP="00000000" w:rsidRDefault="00000000" w:rsidRPr="00000000" w14:paraId="0000013C">
            <w:pPr>
              <w:ind w:left="0" w:firstLine="0"/>
              <w:jc w:val="center"/>
              <w:rPr>
                <w:rFonts w:ascii="Salesforce Sans" w:cs="Salesforce Sans" w:eastAsia="Salesforce Sans" w:hAnsi="Salesforce Sans"/>
                <w:color w:val="f5f5f5"/>
              </w:rPr>
            </w:pPr>
            <w:r w:rsidDel="00000000" w:rsidR="00000000" w:rsidRPr="00000000">
              <w:rPr>
                <w:rFonts w:ascii="Salesforce Sans" w:cs="Salesforce Sans" w:eastAsia="Salesforce Sans" w:hAnsi="Salesforce Sans"/>
                <w:b w:val="1"/>
                <w:color w:val="f5f5f5"/>
                <w:rtl w:val="0"/>
              </w:rPr>
              <w:t xml:space="preserve">OmniScript</w:t>
            </w:r>
            <w:r w:rsidDel="00000000" w:rsidR="00000000" w:rsidRPr="00000000">
              <w:rPr>
                <w:rtl w:val="0"/>
              </w:rPr>
            </w:r>
          </w:p>
        </w:tc>
      </w:tr>
      <w:tr>
        <w:trPr>
          <w:cantSplit w:val="0"/>
          <w:trHeight w:val="51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3D">
            <w:pPr>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Included with Health Cloud?</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Add-On</w:t>
            </w:r>
          </w:p>
        </w:tc>
      </w:tr>
      <w:tr>
        <w:trPr>
          <w:cantSplit w:val="0"/>
          <w:trHeight w:val="51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Complex Branching/Logic (by section)</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No</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r>
      <w:tr>
        <w:trPr>
          <w:cantSplit w:val="0"/>
          <w:trHeight w:val="51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Basic Branching/Logic (by question)</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r>
      <w:tr>
        <w:trPr>
          <w:cantSplit w:val="0"/>
          <w:trHeight w:val="51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Offline?</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No</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No</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No</w:t>
            </w:r>
          </w:p>
        </w:tc>
      </w:tr>
      <w:tr>
        <w:trPr>
          <w:cantSplit w:val="0"/>
          <w:trHeight w:val="51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Mobile Support?</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Limited</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r>
      <w:tr>
        <w:trPr>
          <w:cantSplit w:val="0"/>
          <w:trHeight w:val="51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Experience Cloud Support?</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r>
      <w:tr>
        <w:trPr>
          <w:cantSplit w:val="0"/>
          <w:trHeight w:val="51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Syncs to Custom Objects?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No</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r>
      <w:tr>
        <w:trPr>
          <w:cantSplit w:val="0"/>
          <w:trHeight w:val="51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Works with Person Accounts?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r>
      <w:tr>
        <w:trPr>
          <w:cantSplit w:val="0"/>
          <w:trHeight w:val="105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Pause and Resume? </w:t>
            </w:r>
            <w:r w:rsidDel="00000000" w:rsidR="00000000" w:rsidRPr="00000000">
              <w:rPr>
                <w:rFonts w:ascii="Salesforce Sans" w:cs="Salesforce Sans" w:eastAsia="Salesforce Sans" w:hAnsi="Salesforce Sans"/>
                <w:i w:val="1"/>
                <w:rtl w:val="0"/>
              </w:rPr>
              <w:t xml:space="preserve">(save)</w:t>
            </w:r>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 </w:t>
            </w:r>
            <w:r w:rsidDel="00000000" w:rsidR="00000000" w:rsidRPr="00000000">
              <w:rPr>
                <w:rFonts w:ascii="Salesforce Sans" w:cs="Salesforce Sans" w:eastAsia="Salesforce Sans" w:hAnsi="Salesforce Sans"/>
                <w:i w:val="1"/>
                <w:rtl w:val="0"/>
              </w:rPr>
              <w:t xml:space="preserve">(authenticated surveys only)</w:t>
            </w:r>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tl w:val="0"/>
              </w:rPr>
            </w:r>
          </w:p>
        </w:tc>
      </w:tr>
      <w:tr>
        <w:trPr>
          <w:cantSplit w:val="0"/>
          <w:trHeight w:val="105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Pre-Populate Data from Patient</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i w:val="1"/>
                <w:rtl w:val="0"/>
              </w:rPr>
              <w:t xml:space="preserve">(basic merge field)</w:t>
            </w:r>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tl w:val="0"/>
              </w:rPr>
            </w:r>
          </w:p>
        </w:tc>
      </w:tr>
      <w:tr>
        <w:trPr>
          <w:cantSplit w:val="0"/>
          <w:trHeight w:val="78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Pre-Populate Data from Previous Assessments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No</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tl w:val="0"/>
              </w:rPr>
            </w:r>
          </w:p>
        </w:tc>
      </w:tr>
      <w:tr>
        <w:trPr>
          <w:cantSplit w:val="0"/>
          <w:trHeight w:val="51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Reporting</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tl w:val="0"/>
              </w:rPr>
            </w:r>
          </w:p>
        </w:tc>
      </w:tr>
      <w:tr>
        <w:trPr>
          <w:cantSplit w:val="0"/>
          <w:trHeight w:val="51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Question Library</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No</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tl w:val="0"/>
              </w:rPr>
            </w:r>
          </w:p>
        </w:tc>
      </w:tr>
      <w:tr>
        <w:trPr>
          <w:cantSplit w:val="0"/>
          <w:trHeight w:val="51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Calculate Scoring</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No</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Yes</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tl w:val="0"/>
              </w:rPr>
            </w:r>
          </w:p>
        </w:tc>
      </w:tr>
      <w:tr>
        <w:trPr>
          <w:cantSplit w:val="0"/>
          <w:trHeight w:val="78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HIPAA Compliance</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via Shield Encryption</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via Shield Encryption</w:t>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via DPA - No</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via HINS - Yes</w:t>
            </w:r>
          </w:p>
        </w:tc>
      </w:tr>
    </w:tbl>
    <w:p w:rsidR="00000000" w:rsidDel="00000000" w:rsidP="00000000" w:rsidRDefault="00000000" w:rsidRPr="00000000" w14:paraId="0000017B">
      <w:pPr>
        <w:pageBreakBefore w:val="0"/>
        <w:ind w:left="0" w:firstLine="0"/>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17C">
      <w:pPr>
        <w:pStyle w:val="Heading1"/>
        <w:numPr>
          <w:ilvl w:val="0"/>
          <w:numId w:val="11"/>
        </w:numPr>
        <w:ind w:firstLine="360"/>
        <w:rPr>
          <w:rFonts w:ascii="Salesforce Sans" w:cs="Salesforce Sans" w:eastAsia="Salesforce Sans" w:hAnsi="Salesforce Sans"/>
          <w:u w:val="none"/>
        </w:rPr>
      </w:pPr>
      <w:bookmarkStart w:colFirst="0" w:colLast="0" w:name="_iy5ftg7g35lv" w:id="25"/>
      <w:bookmarkEnd w:id="25"/>
      <w:r w:rsidDel="00000000" w:rsidR="00000000" w:rsidRPr="00000000">
        <w:rPr>
          <w:rFonts w:ascii="Salesforce Sans" w:cs="Salesforce Sans" w:eastAsia="Salesforce Sans" w:hAnsi="Salesforce Sans"/>
          <w:rtl w:val="0"/>
        </w:rPr>
        <w:t xml:space="preserve">Supporting Documentation</w:t>
      </w:r>
    </w:p>
    <w:p w:rsidR="00000000" w:rsidDel="00000000" w:rsidP="00000000" w:rsidRDefault="00000000" w:rsidRPr="00000000" w14:paraId="0000017D">
      <w:pPr>
        <w:rPr>
          <w:rFonts w:ascii="Salesforce Sans" w:cs="Salesforce Sans" w:eastAsia="Salesforce Sans" w:hAnsi="Salesforce Sans"/>
        </w:rPr>
      </w:pPr>
      <w:r w:rsidDel="00000000" w:rsidR="00000000" w:rsidRPr="00000000">
        <w:rPr>
          <w:rtl w:val="0"/>
        </w:rPr>
      </w:r>
    </w:p>
    <w:tbl>
      <w:tblPr>
        <w:tblStyle w:val="Table4"/>
        <w:tblW w:w="93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75"/>
        <w:gridCol w:w="5655"/>
        <w:tblGridChange w:id="0">
          <w:tblGrid>
            <w:gridCol w:w="3675"/>
            <w:gridCol w:w="5655"/>
          </w:tblGrid>
        </w:tblGridChange>
      </w:tblGrid>
      <w:tr>
        <w:trPr>
          <w:cantSplit w:val="0"/>
          <w:trHeight w:val="515" w:hRule="atLeast"/>
          <w:tblHeader w:val="0"/>
        </w:trPr>
        <w:tc>
          <w:tcPr>
            <w:tcBorders>
              <w:top w:color="e6e6e6" w:space="0" w:sz="6" w:val="single"/>
              <w:left w:color="e6e6e6" w:space="0" w:sz="6" w:val="single"/>
              <w:bottom w:color="e6e6e6" w:space="0" w:sz="6" w:val="single"/>
              <w:right w:color="e6e6e6" w:space="0" w:sz="6" w:val="single"/>
            </w:tcBorders>
            <w:shd w:fill="00a1e0"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color w:val="f5f5f5"/>
              </w:rPr>
            </w:pPr>
            <w:r w:rsidDel="00000000" w:rsidR="00000000" w:rsidRPr="00000000">
              <w:rPr>
                <w:rFonts w:ascii="Salesforce Sans" w:cs="Salesforce Sans" w:eastAsia="Salesforce Sans" w:hAnsi="Salesforce Sans"/>
                <w:b w:val="1"/>
                <w:color w:val="f5f5f5"/>
                <w:rtl w:val="0"/>
              </w:rPr>
              <w:t xml:space="preserve">Asset</w:t>
            </w:r>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shd w:fill="00a1e0"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color w:val="f5f5f5"/>
              </w:rPr>
            </w:pPr>
            <w:r w:rsidDel="00000000" w:rsidR="00000000" w:rsidRPr="00000000">
              <w:rPr>
                <w:rFonts w:ascii="Salesforce Sans" w:cs="Salesforce Sans" w:eastAsia="Salesforce Sans" w:hAnsi="Salesforce Sans"/>
                <w:b w:val="1"/>
                <w:color w:val="f5f5f5"/>
                <w:rtl w:val="0"/>
              </w:rPr>
              <w:t xml:space="preserve">Description</w:t>
            </w:r>
            <w:r w:rsidDel="00000000" w:rsidR="00000000" w:rsidRPr="00000000">
              <w:rPr>
                <w:rtl w:val="0"/>
              </w:rPr>
            </w:r>
          </w:p>
        </w:tc>
      </w:tr>
      <w:tr>
        <w:trPr>
          <w:cantSplit w:val="0"/>
          <w:trHeight w:val="132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hyperlink r:id="rId31">
              <w:r w:rsidDel="00000000" w:rsidR="00000000" w:rsidRPr="00000000">
                <w:rPr>
                  <w:rFonts w:ascii="Salesforce Sans" w:cs="Salesforce Sans" w:eastAsia="Salesforce Sans" w:hAnsi="Salesforce Sans"/>
                  <w:color w:val="1155cc"/>
                  <w:u w:val="single"/>
                  <w:rtl w:val="0"/>
                </w:rPr>
                <w:t xml:space="preserve">Health Cloud Release Notes</w:t>
              </w:r>
            </w:hyperlink>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Dive deeper into the latest Health Cloud release and learn how customers can access the new features.</w:t>
            </w:r>
          </w:p>
        </w:tc>
      </w:tr>
      <w:tr>
        <w:trPr>
          <w:cantSplit w:val="0"/>
          <w:trHeight w:val="132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Rule="auto"/>
              <w:ind w:left="0" w:firstLine="0"/>
              <w:rPr>
                <w:rFonts w:ascii="Salesforce Sans" w:cs="Salesforce Sans" w:eastAsia="Salesforce Sans" w:hAnsi="Salesforce Sans"/>
              </w:rPr>
            </w:pPr>
            <w:hyperlink r:id="rId32">
              <w:r w:rsidDel="00000000" w:rsidR="00000000" w:rsidRPr="00000000">
                <w:rPr>
                  <w:rFonts w:ascii="Salesforce Sans" w:cs="Salesforce Sans" w:eastAsia="Salesforce Sans" w:hAnsi="Salesforce Sans"/>
                  <w:color w:val="1155cc"/>
                  <w:u w:val="single"/>
                  <w:rtl w:val="0"/>
                </w:rPr>
                <w:t xml:space="preserve">Setting up Health Cloud</w:t>
              </w:r>
            </w:hyperlink>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Rule="auto"/>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Learn how to install the managed package</w:t>
            </w:r>
          </w:p>
        </w:tc>
      </w:tr>
      <w:tr>
        <w:trPr>
          <w:cantSplit w:val="0"/>
          <w:trHeight w:val="132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Rule="auto"/>
              <w:ind w:left="0" w:firstLine="0"/>
              <w:rPr>
                <w:rFonts w:ascii="Salesforce Sans" w:cs="Salesforce Sans" w:eastAsia="Salesforce Sans" w:hAnsi="Salesforce Sans"/>
              </w:rPr>
            </w:pPr>
            <w:hyperlink r:id="rId33">
              <w:r w:rsidDel="00000000" w:rsidR="00000000" w:rsidRPr="00000000">
                <w:rPr>
                  <w:rFonts w:ascii="Salesforce Sans" w:cs="Salesforce Sans" w:eastAsia="Salesforce Sans" w:hAnsi="Salesforce Sans"/>
                  <w:color w:val="1155cc"/>
                  <w:u w:val="single"/>
                  <w:rtl w:val="0"/>
                </w:rPr>
                <w:t xml:space="preserve">Health Cloud Data Model</w:t>
              </w:r>
            </w:hyperlink>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85">
            <w:pPr>
              <w:widowControl w:val="0"/>
              <w:spacing w:after="0" w:lineRule="auto"/>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More information on Health Cloud's data model in Salesforce Developers</w:t>
            </w:r>
          </w:p>
        </w:tc>
      </w:tr>
      <w:tr>
        <w:trPr>
          <w:cantSplit w:val="0"/>
          <w:trHeight w:val="132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Rule="auto"/>
              <w:ind w:left="0" w:firstLine="0"/>
              <w:rPr>
                <w:rFonts w:ascii="Salesforce Sans" w:cs="Salesforce Sans" w:eastAsia="Salesforce Sans" w:hAnsi="Salesforce Sans"/>
              </w:rPr>
            </w:pPr>
            <w:hyperlink r:id="rId34">
              <w:r w:rsidDel="00000000" w:rsidR="00000000" w:rsidRPr="00000000">
                <w:rPr>
                  <w:rFonts w:ascii="Salesforce Sans" w:cs="Salesforce Sans" w:eastAsia="Salesforce Sans" w:hAnsi="Salesforce Sans"/>
                  <w:color w:val="1155cc"/>
                  <w:u w:val="single"/>
                  <w:rtl w:val="0"/>
                </w:rPr>
                <w:t xml:space="preserve">Health Cloud Objects</w:t>
              </w:r>
            </w:hyperlink>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Rule="auto"/>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Learn about the rich set of standard and custom objects to store and access specialized health information.</w:t>
            </w:r>
          </w:p>
        </w:tc>
      </w:tr>
      <w:tr>
        <w:trPr>
          <w:cantSplit w:val="0"/>
          <w:trHeight w:val="132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88">
            <w:pPr>
              <w:widowControl w:val="0"/>
              <w:spacing w:after="0" w:lineRule="auto"/>
              <w:ind w:left="0" w:firstLine="0"/>
              <w:rPr>
                <w:rFonts w:ascii="Salesforce Sans" w:cs="Salesforce Sans" w:eastAsia="Salesforce Sans" w:hAnsi="Salesforce Sans"/>
              </w:rPr>
            </w:pPr>
            <w:hyperlink r:id="rId35">
              <w:r w:rsidDel="00000000" w:rsidR="00000000" w:rsidRPr="00000000">
                <w:rPr>
                  <w:rFonts w:ascii="Salesforce Sans" w:cs="Salesforce Sans" w:eastAsia="Salesforce Sans" w:hAnsi="Salesforce Sans"/>
                  <w:color w:val="1155cc"/>
                  <w:u w:val="single"/>
                  <w:rtl w:val="0"/>
                </w:rPr>
                <w:t xml:space="preserve">FHIR R4 FAQ</w:t>
              </w:r>
            </w:hyperlink>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top"/>
          </w:tcPr>
          <w:p w:rsidR="00000000" w:rsidDel="00000000" w:rsidP="00000000" w:rsidRDefault="00000000" w:rsidRPr="00000000" w14:paraId="00000189">
            <w:pPr>
              <w:widowControl w:val="0"/>
              <w:spacing w:after="0" w:lineRule="auto"/>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Learn about R4, aka Release 4, of HL7 FHIR (Fast Healthcare Interoperability Resources) through FAQs, customer questions, demo resources, etc.</w:t>
            </w:r>
          </w:p>
        </w:tc>
      </w:tr>
      <w:tr>
        <w:trPr>
          <w:cantSplit w:val="0"/>
          <w:trHeight w:val="1325" w:hRule="atLeast"/>
          <w:tblHeader w:val="0"/>
        </w:trPr>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center"/>
          </w:tcPr>
          <w:p w:rsidR="00000000" w:rsidDel="00000000" w:rsidP="00000000" w:rsidRDefault="00000000" w:rsidRPr="00000000" w14:paraId="0000018A">
            <w:pPr>
              <w:widowControl w:val="0"/>
              <w:spacing w:after="0" w:lineRule="auto"/>
              <w:ind w:left="0" w:firstLine="0"/>
              <w:rPr>
                <w:rFonts w:ascii="Salesforce Sans" w:cs="Salesforce Sans" w:eastAsia="Salesforce Sans" w:hAnsi="Salesforce Sans"/>
              </w:rPr>
            </w:pPr>
            <w:hyperlink r:id="rId36">
              <w:r w:rsidDel="00000000" w:rsidR="00000000" w:rsidRPr="00000000">
                <w:rPr>
                  <w:rFonts w:ascii="Salesforce Sans" w:cs="Salesforce Sans" w:eastAsia="Salesforce Sans" w:hAnsi="Salesforce Sans"/>
                  <w:color w:val="1155cc"/>
                  <w:u w:val="single"/>
                  <w:rtl w:val="0"/>
                </w:rPr>
                <w:t xml:space="preserve">Salesforce Health Cloud Datasheet</w:t>
              </w:r>
            </w:hyperlink>
            <w:r w:rsidDel="00000000" w:rsidR="00000000" w:rsidRPr="00000000">
              <w:rPr>
                <w:rtl w:val="0"/>
              </w:rPr>
            </w:r>
          </w:p>
        </w:tc>
        <w:tc>
          <w:tcPr>
            <w:tcBorders>
              <w:top w:color="e6e6e6" w:space="0" w:sz="6" w:val="single"/>
              <w:left w:color="e6e6e6" w:space="0" w:sz="6" w:val="single"/>
              <w:bottom w:color="e6e6e6" w:space="0" w:sz="6" w:val="single"/>
              <w:right w:color="e6e6e6" w:space="0" w:sz="6" w:val="single"/>
            </w:tcBorders>
            <w:tcMar>
              <w:top w:w="100.0" w:type="dxa"/>
              <w:left w:w="100.0" w:type="dxa"/>
              <w:bottom w:w="100.0" w:type="dxa"/>
              <w:right w:w="100.0" w:type="dxa"/>
            </w:tcMar>
            <w:vAlign w:val="center"/>
          </w:tcPr>
          <w:p w:rsidR="00000000" w:rsidDel="00000000" w:rsidP="00000000" w:rsidRDefault="00000000" w:rsidRPr="00000000" w14:paraId="0000018B">
            <w:pPr>
              <w:widowControl w:val="0"/>
              <w:spacing w:after="0" w:lineRule="auto"/>
              <w:ind w:left="0" w:firstLine="0"/>
              <w:rPr>
                <w:rFonts w:ascii="Salesforce Sans" w:cs="Salesforce Sans" w:eastAsia="Salesforce Sans" w:hAnsi="Salesforce Sans"/>
              </w:rPr>
            </w:pPr>
            <w:r w:rsidDel="00000000" w:rsidR="00000000" w:rsidRPr="00000000">
              <w:rPr>
                <w:rFonts w:ascii="Salesforce Sans" w:cs="Salesforce Sans" w:eastAsia="Salesforce Sans" w:hAnsi="Salesforce Sans"/>
                <w:rtl w:val="0"/>
              </w:rPr>
              <w:t xml:space="preserve">Datasheet for Health Cloud for Providers</w:t>
            </w:r>
          </w:p>
        </w:tc>
      </w:tr>
    </w:tbl>
    <w:p w:rsidR="00000000" w:rsidDel="00000000" w:rsidP="00000000" w:rsidRDefault="00000000" w:rsidRPr="00000000" w14:paraId="0000018C">
      <w:pPr>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18D">
      <w:pPr>
        <w:pageBreakBefore w:val="0"/>
        <w:jc w:val="left"/>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18E">
      <w:pPr>
        <w:pageBreakBefore w:val="0"/>
        <w:jc w:val="left"/>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18F">
      <w:pPr>
        <w:pageBreakBefore w:val="0"/>
        <w:jc w:val="left"/>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190">
      <w:pPr>
        <w:pageBreakBefore w:val="0"/>
        <w:jc w:val="left"/>
        <w:rPr>
          <w:rFonts w:ascii="Salesforce Sans" w:cs="Salesforce Sans" w:eastAsia="Salesforce Sans" w:hAnsi="Salesforce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114300</wp:posOffset>
            </wp:positionV>
            <wp:extent cx="5943600" cy="3340100"/>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191">
      <w:pPr>
        <w:pageBreakBefore w:val="0"/>
        <w:jc w:val="left"/>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192">
      <w:pPr>
        <w:pageBreakBefore w:val="0"/>
        <w:jc w:val="left"/>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193">
      <w:pPr>
        <w:pageBreakBefore w:val="0"/>
        <w:jc w:val="left"/>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194">
      <w:pPr>
        <w:pageBreakBefore w:val="0"/>
        <w:jc w:val="center"/>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195">
      <w:pPr>
        <w:pageBreakBefore w:val="0"/>
        <w:jc w:val="center"/>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196">
      <w:pPr>
        <w:pageBreakBefore w:val="0"/>
        <w:jc w:val="center"/>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197">
      <w:pPr>
        <w:pageBreakBefore w:val="0"/>
        <w:jc w:val="center"/>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198">
      <w:pPr>
        <w:pageBreakBefore w:val="0"/>
        <w:pBdr>
          <w:top w:space="0" w:sz="0" w:val="nil"/>
          <w:left w:space="0" w:sz="0" w:val="nil"/>
          <w:bottom w:space="0" w:sz="0" w:val="nil"/>
          <w:right w:space="0" w:sz="0" w:val="nil"/>
          <w:between w:space="0" w:sz="0" w:val="nil"/>
        </w:pBdr>
        <w:shd w:fill="auto" w:val="clear"/>
        <w:jc w:val="center"/>
        <w:rPr>
          <w:rFonts w:ascii="Salesforce Sans" w:cs="Salesforce Sans" w:eastAsia="Salesforce Sans" w:hAnsi="Salesforce Sans"/>
        </w:rPr>
      </w:pPr>
      <w:r w:rsidDel="00000000" w:rsidR="00000000" w:rsidRPr="00000000">
        <w:rPr>
          <w:rtl w:val="0"/>
        </w:rPr>
      </w:r>
    </w:p>
    <w:p w:rsidR="00000000" w:rsidDel="00000000" w:rsidP="00000000" w:rsidRDefault="00000000" w:rsidRPr="00000000" w14:paraId="00000199">
      <w:pPr>
        <w:pageBreakBefore w:val="0"/>
        <w:pBdr>
          <w:top w:space="0" w:sz="0" w:val="nil"/>
          <w:left w:space="0" w:sz="0" w:val="nil"/>
          <w:bottom w:space="0" w:sz="0" w:val="nil"/>
          <w:right w:space="0" w:sz="0" w:val="nil"/>
          <w:between w:space="0" w:sz="0" w:val="nil"/>
        </w:pBdr>
        <w:shd w:fill="auto" w:val="clear"/>
        <w:jc w:val="center"/>
        <w:rPr>
          <w:rFonts w:ascii="Salesforce Sans" w:cs="Salesforce Sans" w:eastAsia="Salesforce Sans" w:hAnsi="Salesforce Sans"/>
        </w:rPr>
      </w:pPr>
      <w:r w:rsidDel="00000000" w:rsidR="00000000" w:rsidRPr="00000000">
        <w:rPr>
          <w:rtl w:val="0"/>
        </w:rPr>
      </w:r>
    </w:p>
    <w:sectPr>
      <w:headerReference r:id="rId38" w:type="default"/>
      <w:headerReference r:id="rId39" w:type="first"/>
      <w:footerReference r:id="rId40" w:type="default"/>
      <w:footerReference r:id="rId41" w:type="first"/>
      <w:pgSz w:h="15840" w:w="12240" w:orient="portrait"/>
      <w:pgMar w:bottom="1440" w:top="180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alesforce 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B">
    <w:pPr>
      <w:pageBreakBefore w:val="0"/>
      <w:pBdr>
        <w:top w:space="0" w:sz="0" w:val="nil"/>
        <w:left w:space="0" w:sz="0" w:val="nil"/>
        <w:bottom w:space="0" w:sz="0" w:val="nil"/>
        <w:right w:space="0" w:sz="0" w:val="nil"/>
        <w:between w:space="0" w:sz="0" w:val="nil"/>
      </w:pBdr>
      <w:shd w:fill="auto" w:val="clear"/>
      <w:tabs>
        <w:tab w:val="right" w:pos="9360"/>
      </w:tabs>
      <w:spacing w:after="734" w:before="0" w:line="276" w:lineRule="auto"/>
      <w:ind w:left="0" w:firstLine="0"/>
      <w:jc w:val="right"/>
      <w:rPr>
        <w:color w:val="666666"/>
      </w:rPr>
    </w:pPr>
    <w:r w:rsidDel="00000000" w:rsidR="00000000" w:rsidRPr="00000000">
      <w:pict>
        <v:rect style="width:0.0pt;height:1.5pt" o:hr="t" o:hrstd="t" o:hralign="center" fillcolor="#A0A0A0" stroked="f"/>
      </w:pict>
    </w:r>
    <w:r w:rsidDel="00000000" w:rsidR="00000000" w:rsidRPr="00000000">
      <w:rPr>
        <w:color w:val="666666"/>
        <w:rtl w:val="0"/>
      </w:rPr>
      <w:t xml:space="preserve">Confidential </w:t>
    </w:r>
    <w:r w:rsidDel="00000000" w:rsidR="00000000" w:rsidRPr="00000000">
      <w:rPr>
        <w:rFonts w:ascii="Arial" w:cs="Arial" w:eastAsia="Arial" w:hAnsi="Arial"/>
        <w:b w:val="0"/>
        <w:color w:val="666666"/>
        <w:sz w:val="20"/>
        <w:szCs w:val="20"/>
        <w:rtl w:val="0"/>
      </w:rPr>
      <w:tab/>
      <w:t xml:space="preserve">Salesforce | </w:t>
    </w:r>
    <w:r w:rsidDel="00000000" w:rsidR="00000000" w:rsidRPr="00000000">
      <w:rPr>
        <w:rFonts w:ascii="Arial" w:cs="Arial" w:eastAsia="Arial" w:hAnsi="Arial"/>
        <w:b w:val="0"/>
        <w:color w:val="666666"/>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pageBreakBefore w:val="0"/>
      <w:pBdr>
        <w:top w:space="0" w:sz="0" w:val="nil"/>
        <w:left w:space="0" w:sz="0" w:val="nil"/>
        <w:bottom w:space="0" w:sz="0" w:val="nil"/>
        <w:right w:space="0" w:sz="0" w:val="nil"/>
        <w:between w:space="0" w:sz="0" w:val="nil"/>
      </w:pBdr>
      <w:shd w:fill="auto" w:val="clear"/>
      <w:tabs>
        <w:tab w:val="right" w:pos="9360"/>
      </w:tabs>
      <w:spacing w:after="734" w:before="0" w:line="276" w:lineRule="auto"/>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A">
    <w:pPr>
      <w:pageBreakBefore w:val="0"/>
      <w:shd w:fill="ffffff" w:val="clear"/>
      <w:tabs>
        <w:tab w:val="center" w:pos="4320"/>
        <w:tab w:val="right" w:pos="8640"/>
      </w:tabs>
      <w:spacing w:after="0" w:lineRule="auto"/>
      <w:jc w:val="both"/>
      <w:rPr/>
    </w:pPr>
    <w:bookmarkStart w:colFirst="0" w:colLast="0" w:name="_1fob9te" w:id="26"/>
    <w:bookmarkEnd w:id="26"/>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5067300</wp:posOffset>
          </wp:positionH>
          <wp:positionV relativeFrom="paragraph">
            <wp:posOffset>304800</wp:posOffset>
          </wp:positionV>
          <wp:extent cx="1193800" cy="880745"/>
          <wp:effectExtent b="0" l="0" r="0" t="0"/>
          <wp:wrapSquare wrapText="bothSides" distB="0" distT="0" distL="114300" distR="114300"/>
          <wp:docPr id="1"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193800" cy="88074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C">
    <w:pPr>
      <w:pageBreakBefore w:val="0"/>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144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rFonts w:ascii="Arial" w:cs="Arial" w:eastAsia="Arial" w:hAnsi="Arial"/>
        <w:color w:val="222222"/>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22222"/>
        <w:sz w:val="22"/>
        <w:szCs w:val="22"/>
        <w:lang w:val="en-US"/>
      </w:rPr>
    </w:rPrDefault>
    <w:pPrDefault>
      <w:pPr>
        <w:spacing w:after="200" w:line="276" w:lineRule="auto"/>
        <w:ind w:lef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tabs>
        <w:tab w:val="left" w:pos="1260"/>
      </w:tabs>
      <w:spacing w:after="0" w:before="0" w:line="240" w:lineRule="auto"/>
    </w:pPr>
    <w:rPr>
      <w:rFonts w:ascii="Arial" w:cs="Arial" w:eastAsia="Arial" w:hAnsi="Arial"/>
      <w:b w:val="1"/>
      <w:color w:val="009ddc"/>
      <w:sz w:val="44"/>
      <w:szCs w:val="44"/>
    </w:rPr>
  </w:style>
  <w:style w:type="paragraph" w:styleId="Heading2">
    <w:name w:val="heading 2"/>
    <w:basedOn w:val="Normal"/>
    <w:next w:val="Normal"/>
    <w:pPr>
      <w:keepNext w:val="1"/>
      <w:keepLines w:val="1"/>
      <w:pageBreakBefore w:val="0"/>
      <w:spacing w:after="40" w:before="200" w:lineRule="auto"/>
      <w:ind w:left="0" w:firstLine="0"/>
    </w:pPr>
    <w:rPr>
      <w:b w:val="1"/>
      <w:sz w:val="32"/>
      <w:szCs w:val="32"/>
    </w:rPr>
  </w:style>
  <w:style w:type="paragraph" w:styleId="Heading3">
    <w:name w:val="heading 3"/>
    <w:basedOn w:val="Normal"/>
    <w:next w:val="Normal"/>
    <w:pPr>
      <w:keepNext w:val="1"/>
      <w:keepLines w:val="1"/>
      <w:pageBreakBefore w:val="0"/>
      <w:spacing w:after="40" w:before="200" w:line="276" w:lineRule="auto"/>
    </w:pPr>
    <w:rPr>
      <w:b w:val="1"/>
      <w:color w:val="808080"/>
      <w:sz w:val="28"/>
      <w:szCs w:val="28"/>
    </w:rPr>
  </w:style>
  <w:style w:type="paragraph" w:styleId="Heading4">
    <w:name w:val="heading 4"/>
    <w:basedOn w:val="Normal"/>
    <w:next w:val="Normal"/>
    <w:pPr>
      <w:keepNext w:val="1"/>
      <w:keepLines w:val="1"/>
      <w:pageBreakBefore w:val="0"/>
      <w:spacing w:after="160" w:before="240" w:line="276" w:lineRule="auto"/>
      <w:ind w:left="0" w:firstLine="0"/>
      <w:jc w:val="both"/>
    </w:pPr>
    <w:rPr>
      <w:b w:val="1"/>
      <w:color w:val="009ddc"/>
      <w:sz w:val="24"/>
      <w:szCs w:val="24"/>
    </w:rPr>
  </w:style>
  <w:style w:type="paragraph" w:styleId="Heading5">
    <w:name w:val="heading 5"/>
    <w:basedOn w:val="Normal"/>
    <w:next w:val="Normal"/>
    <w:pPr>
      <w:keepNext w:val="1"/>
      <w:keepLines w:val="1"/>
      <w:pageBreakBefore w:val="0"/>
      <w:tabs>
        <w:tab w:val="left" w:pos="720"/>
      </w:tabs>
      <w:spacing w:after="60" w:before="240" w:line="276" w:lineRule="auto"/>
      <w:ind w:left="1008" w:hanging="1008"/>
      <w:jc w:val="both"/>
    </w:pPr>
    <w:rPr>
      <w:rFonts w:ascii="Arial" w:cs="Arial" w:eastAsia="Arial" w:hAnsi="Arial"/>
      <w:b w:val="1"/>
      <w:sz w:val="22"/>
      <w:szCs w:val="22"/>
    </w:rPr>
  </w:style>
  <w:style w:type="paragraph" w:styleId="Heading6">
    <w:name w:val="heading 6"/>
    <w:basedOn w:val="Normal"/>
    <w:next w:val="Normal"/>
    <w:pPr>
      <w:keepNext w:val="1"/>
      <w:keepLines w:val="1"/>
      <w:pageBreakBefore w:val="0"/>
      <w:tabs>
        <w:tab w:val="left" w:pos="720"/>
      </w:tabs>
      <w:spacing w:after="60" w:before="240" w:line="276" w:lineRule="auto"/>
      <w:ind w:left="1152" w:hanging="1152"/>
      <w:jc w:val="both"/>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pageBreakBefore w:val="0"/>
      <w:tabs>
        <w:tab w:val="left" w:pos="720"/>
      </w:tabs>
      <w:spacing w:after="0" w:before="0" w:line="276" w:lineRule="auto"/>
      <w:ind w:left="1166" w:firstLine="0"/>
    </w:pPr>
    <w:rPr>
      <w:rFonts w:ascii="Arial" w:cs="Arial" w:eastAsia="Arial" w:hAnsi="Arial"/>
      <w:b w:val="0"/>
      <w:sz w:val="20"/>
      <w:szCs w:val="20"/>
    </w:rPr>
  </w:style>
  <w:style w:type="paragraph" w:styleId="Subtitle">
    <w:name w:val="Subtitle"/>
    <w:basedOn w:val="Normal"/>
    <w:next w:val="Normal"/>
    <w:pPr>
      <w:keepNext w:val="1"/>
      <w:keepLines w:val="1"/>
      <w:pageBreakBefore w:val="0"/>
      <w:spacing w:after="0" w:lineRule="auto"/>
    </w:pPr>
    <w:rPr>
      <w:i w:val="1"/>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hyperlink" Target="https://docs.google.com/document/d/13I-lsDw7YlnmV-R-63BBE7m_XsOPiP9kBb-f5kDKdho/edit#heading=h.8tzrtrgw85e4" TargetMode="External"/><Relationship Id="rId41" Type="http://schemas.openxmlformats.org/officeDocument/2006/relationships/footer" Target="footer2.xml"/><Relationship Id="rId22" Type="http://schemas.openxmlformats.org/officeDocument/2006/relationships/hyperlink" Target="https://docs.google.com/document/d/13I-lsDw7YlnmV-R-63BBE7m_XsOPiP9kBb-f5kDKdho/edit#heading=h.wif1yuxtnp3w" TargetMode="External"/><Relationship Id="rId21" Type="http://schemas.openxmlformats.org/officeDocument/2006/relationships/hyperlink" Target="https://docs.google.com/document/d/13I-lsDw7YlnmV-R-63BBE7m_XsOPiP9kBb-f5kDKdho/edit#heading=h.8tzrtrgw85e4" TargetMode="External"/><Relationship Id="rId24" Type="http://schemas.openxmlformats.org/officeDocument/2006/relationships/hyperlink" Target="https://docs.google.com/document/d/13I-lsDw7YlnmV-R-63BBE7m_XsOPiP9kBb-f5kDKdho/edit#heading=h.rvo9aushp4ar" TargetMode="External"/><Relationship Id="rId23" Type="http://schemas.openxmlformats.org/officeDocument/2006/relationships/hyperlink" Target="https://docs.google.com/document/d/13I-lsDw7YlnmV-R-63BBE7m_XsOPiP9kBb-f5kDKdho/edit#heading=h.wif1yuxtnp3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help.salesforce.com/s/articleView?id=sf.cloud_cti_api_overview.htm&amp;type=5" TargetMode="External"/><Relationship Id="rId25" Type="http://schemas.openxmlformats.org/officeDocument/2006/relationships/hyperlink" Target="https://docs.google.com/document/d/13I-lsDw7YlnmV-R-63BBE7m_XsOPiP9kBb-f5kDKdho/edit#heading=h.rvo9aushp4ar" TargetMode="External"/><Relationship Id="rId28" Type="http://schemas.openxmlformats.org/officeDocument/2006/relationships/image" Target="media/image6.png"/><Relationship Id="rId27" Type="http://schemas.openxmlformats.org/officeDocument/2006/relationships/hyperlink" Target="https://help.salesforce.com/s/articleView?id=sf.admin_person_account_overview.htm&amp;type=5"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developer.salesforce.com/docs/atlas.en-us.health_cloud_object_reference.meta/health_cloud_object_reference/map_fhir_practitioner.htm" TargetMode="External"/><Relationship Id="rId7" Type="http://schemas.openxmlformats.org/officeDocument/2006/relationships/image" Target="media/image2.png"/><Relationship Id="rId8" Type="http://schemas.openxmlformats.org/officeDocument/2006/relationships/image" Target="media/image3.png"/><Relationship Id="rId31" Type="http://schemas.openxmlformats.org/officeDocument/2006/relationships/hyperlink" Target="https://help.salesforce.com/articleView?id=release-notes.salesforce_release_notes.htm" TargetMode="External"/><Relationship Id="rId30" Type="http://schemas.openxmlformats.org/officeDocument/2006/relationships/hyperlink" Target="https://help.salesforce.com/s/articleView?id=sf.concept_add_on_license.htm&amp;type=5" TargetMode="External"/><Relationship Id="rId11" Type="http://schemas.openxmlformats.org/officeDocument/2006/relationships/image" Target="media/image7.png"/><Relationship Id="rId33" Type="http://schemas.openxmlformats.org/officeDocument/2006/relationships/hyperlink" Target="https://developer.salesforce.com/docs/atlas.en-us.health_cloud.meta/health_cloud/admin_data_model.htm" TargetMode="External"/><Relationship Id="rId10" Type="http://schemas.openxmlformats.org/officeDocument/2006/relationships/image" Target="media/image11.png"/><Relationship Id="rId32" Type="http://schemas.openxmlformats.org/officeDocument/2006/relationships/hyperlink" Target="https://developer.salesforce.com/docs/atlas.en-us.health_cloud.meta/health_cloud/admin_planning.htm" TargetMode="External"/><Relationship Id="rId13" Type="http://schemas.openxmlformats.org/officeDocument/2006/relationships/image" Target="media/image12.png"/><Relationship Id="rId35" Type="http://schemas.openxmlformats.org/officeDocument/2006/relationships/hyperlink" Target="https://salesforce.quip.com/QOIPAbuuGHM7" TargetMode="External"/><Relationship Id="rId12" Type="http://schemas.openxmlformats.org/officeDocument/2006/relationships/hyperlink" Target="https://trailhead.salesforce.com/content/learn/modules/sf_releases/sf_releases_start" TargetMode="External"/><Relationship Id="rId34" Type="http://schemas.openxmlformats.org/officeDocument/2006/relationships/hyperlink" Target="https://developer.salesforce.com/docs/atlas.en-us.health_cloud_object_reference.meta/health_cloud_object_reference/sforce_api_objects.htm" TargetMode="External"/><Relationship Id="rId15" Type="http://schemas.openxmlformats.org/officeDocument/2006/relationships/image" Target="media/image9.png"/><Relationship Id="rId37" Type="http://schemas.openxmlformats.org/officeDocument/2006/relationships/image" Target="media/image5.png"/><Relationship Id="rId14" Type="http://schemas.openxmlformats.org/officeDocument/2006/relationships/image" Target="media/image8.png"/><Relationship Id="rId36" Type="http://schemas.openxmlformats.org/officeDocument/2006/relationships/hyperlink" Target="https://c1.sfdcstatic.com/content/dam/web/en_us/www/assets/pdf/datasheets/healthcloud-datasheet.pdf" TargetMode="External"/><Relationship Id="rId17" Type="http://schemas.openxmlformats.org/officeDocument/2006/relationships/hyperlink" Target="https://docs.google.com/document/d/13I-lsDw7YlnmV-R-63BBE7m_XsOPiP9kBb-f5kDKdho/edit#heading=h.rllkv641rqq" TargetMode="External"/><Relationship Id="rId39" Type="http://schemas.openxmlformats.org/officeDocument/2006/relationships/header" Target="header2.xml"/><Relationship Id="rId16" Type="http://schemas.openxmlformats.org/officeDocument/2006/relationships/hyperlink" Target="https://docs.google.com/document/d/13I-lsDw7YlnmV-R-63BBE7m_XsOPiP9kBb-f5kDKdho/edit#heading=h.rllkv641rqq" TargetMode="External"/><Relationship Id="rId38" Type="http://schemas.openxmlformats.org/officeDocument/2006/relationships/header" Target="header1.xml"/><Relationship Id="rId19" Type="http://schemas.openxmlformats.org/officeDocument/2006/relationships/hyperlink" Target="https://docs.google.com/document/d/13I-lsDw7YlnmV-R-63BBE7m_XsOPiP9kBb-f5kDKdho/edit#heading=h.tihz6pc1hxc1" TargetMode="External"/><Relationship Id="rId18" Type="http://schemas.openxmlformats.org/officeDocument/2006/relationships/hyperlink" Target="https://docs.google.com/document/d/13I-lsDw7YlnmV-R-63BBE7m_XsOPiP9kBb-f5kDKdho/edit#heading=h.tihz6pc1hxc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