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Miércoles 2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«Escuchamos una canción que anuncia que alguien está en camino. Fijaos en cómo lo cuenta».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Jesús está llegando</w:t>
        </w:r>
      </w:hyperlink>
      <w:r>
        <w:rPr/>
        <w:t xml:space="preserve">, de César García-Rincón.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Cuando sabemos que viene alguien importante, lo notamos en todo: nos arreglamos, preparamos la casa, estamos pendientes del timbre. Jesús está llegando. ¿Se nota en algo que le esperamos?</w:t>
      </w:r>
    </w:p>
    <w:p>
      <w:pPr>
        <w:pStyle w:val="Lista"/>
        <w:numPr>
          <w:ilvl w:val="0"/>
          <w:numId w:val="1"/>
        </w:numPr>
      </w:pPr>
      <w:r>
        <w:rPr/>
        <w:t xml:space="preserve">¿Qué harías si supieras que alguien muy importante llega a tu casa esta semana?</w:t>
      </w:r>
    </w:p>
    <w:p>
      <w:pPr>
        <w:pStyle w:val="Lista"/>
        <w:numPr>
          <w:ilvl w:val="0"/>
          <w:numId w:val="1"/>
        </w:numPr>
      </w:pPr>
      <w:r>
        <w:rPr/>
        <w:t xml:space="preserve">¿Qué vas a hacer tú para que se note que esperas a Jesús?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«Jesús, estás llegando. Que se note en mi forma de tratar a los demás que te espero».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youtu.be/U_-I916ryyM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