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Miércoles 16 dic</w:t>
      </w:r>
      <w:r>
        <w:rPr>
          <w:color w:val="5D6B71"/>
          <w:sz w:val="22"/>
          <w:szCs w:val="22"/>
        </w:rPr>
        <w:t xml:space="preserve">   Juego «¿Está aquí Jesús?»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«Como Papá Panov, vamos a jugar a descubrir dónde está Jesús».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La maestra dice situaciones. Si hay amor, todos se levantan y dicen «¡Aquí está Jesús!». Si no, se quedan sentados y en silencio. Situaciones: «Comparto mi merienda con un amigo». «Empujo a un compañero en la fila». «Ayudo a recoger la clase». «Dejo solo a un niño en el patio». «Doy un abrazo a quien llora». «Digo «gracias» a la señora del comedor». «No presto mis colores». «Pido perdón».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Jesús está presente cada vez que nos queremos. Cuando no nos queremos, es como si le dejáramos fuera.</w:t>
      </w:r>
    </w:p>
    <w:p>
      <w:pPr>
        <w:pStyle w:val="Lista"/>
        <w:numPr>
          <w:ilvl w:val="0"/>
          <w:numId w:val="1"/>
        </w:numPr>
      </w:pPr>
      <w:r>
        <w:rPr/>
        <w:t xml:space="preserve">¿Cuál de estas cosas has hecho tú hoy?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«Jesús, quiero que estés siempre en mi clase y en mi casa».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