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STATUTS de l'association « [NOM DE L'ASSOCIATION] »</w:t>
      </w:r>
    </w:p>
    <w:p>
      <w:r>
        <w:rPr>
          <w:color w:val="666666"/>
          <w:sz w:val="18"/>
        </w:rPr>
        <w:t>Modèle de travail rédigé le 23/10/2026, qui ne constitue pas un conseil juridique. À faire relire par un avocat, la DDETS ou une maison des associations avant dépôt. Les crochets [ ] sont à compléter ; les options sont signalées par « OPTION ». Cadre : loi du 1er juillet 1901 et décret du 16 août 1901 ; article L. 281-1 du Code de l'action sociale et des familles.</w:t>
      </w:r>
    </w:p>
    <w:p>
      <w:pPr>
        <w:jc w:val="center"/>
      </w:pPr>
      <w:r>
        <w:t>Association régie par la loi du 1er juillet 1901 et le décret du 16 août 1901.</w:t>
      </w:r>
    </w:p>
    <w:p>
      <w:pPr>
        <w:pStyle w:val="Heading1"/>
      </w:pPr>
      <w:r>
        <w:t>TITRE I — Constitution, objet, siège</w:t>
      </w:r>
    </w:p>
    <w:p>
      <w:pPr>
        <w:pStyle w:val="Heading2"/>
      </w:pPr>
      <w:r>
        <w:t>Article 1 — Dénomination et constitution</w:t>
      </w:r>
    </w:p>
    <w:p>
      <w:r>
        <w:t>Il est fondé entre les personnes qui adhèrent aux présents statuts une association régie par la loi du 1er juillet 1901, dénommée « [NOM DE L'ASSOCIATION] » (ci-après « l'association »).</w:t>
      </w:r>
    </w:p>
    <w:p>
      <w:pPr>
        <w:pStyle w:val="Heading2"/>
      </w:pPr>
      <w:r>
        <w:t>Article 2 — Objet</w:t>
      </w:r>
    </w:p>
    <w:p>
      <w:r>
        <w:t>L'association a pour objet de porter, d'animer et de coordonner le projet de vie sociale et partagée d'un ou plusieurs habitats inclusifs, au sens de l'article L. 281-1 du Code de l'action sociale et des familles, destinés à des personnes âgées, à des personnes en situation de handicap et à d'autres personnes qui font le choix, à titre de résidence principale, d'un mode d'habitation regroupé.</w:t>
      </w:r>
    </w:p>
    <w:p>
      <w:r>
        <w:t>À ce titre, elle :</w:t>
      </w:r>
    </w:p>
    <w:p>
      <w:r>
        <w:t>- élabore avec les habitants et met en œuvre le projet de vie sociale et partagée, comprenant des activités ouvertes à tous, sans obligation de participation ;</w:t>
      </w:r>
    </w:p>
    <w:p>
      <w:r>
        <w:t>- favorise la participation des habitants à la vie de l'habitat et leur insertion dans la vie locale ;</w:t>
      </w:r>
    </w:p>
    <w:p>
      <w:r>
        <w:t>- veille au respect du libre choix, par chaque habitant, des services d'aide, d'accompagnement et de soins dont il souhaite bénéficier ;</w:t>
      </w:r>
    </w:p>
    <w:p>
      <w:r>
        <w:t>- recherche et gère les financements nécessaires, notamment l'aide à la vie partagée prévue à l'article L. 281-2-1 du même code ;</w:t>
      </w:r>
    </w:p>
    <w:p>
      <w:r>
        <w:t>- noue des partenariats avec les propriétaires, les collectivités, les services de santé et d'aide, et les acteurs de la vie locale.</w:t>
      </w:r>
    </w:p>
    <w:p>
      <w:r>
        <w:t>L'association n'est pas un établissement ni un service social ou médico-social. Elle n'impose aucune prestation d'aide ou de soins aux habitants et ne conditionne pas l'accès au logement à la souscription de prestations.</w:t>
      </w:r>
    </w:p>
    <w:p>
      <w:pPr>
        <w:pStyle w:val="Heading2"/>
      </w:pPr>
      <w:r>
        <w:t>Article 3 — Siège</w:t>
      </w:r>
    </w:p>
    <w:p>
      <w:r>
        <w:t>Le siège de l'association est fixé à : [adresse, commune], Marne. Il est distinct des locaux de tout service d'aide à domicile [à vérifier : adresse d'un administrateur ou de la maison des associations plutôt que du siège de DMS].</w:t>
      </w:r>
    </w:p>
    <w:p>
      <w:r>
        <w:t>Il peut être transféré par décision du conseil d'administration, ratifiée par l'assemblée générale.</w:t>
      </w:r>
    </w:p>
    <w:p>
      <w:pPr>
        <w:pStyle w:val="Heading2"/>
      </w:pPr>
      <w:r>
        <w:t>Article 4 — Durée</w:t>
      </w:r>
    </w:p>
    <w:p>
      <w:r>
        <w:t>La durée de l'association est illimitée.</w:t>
      </w:r>
    </w:p>
    <w:p>
      <w:pPr>
        <w:pStyle w:val="Heading1"/>
      </w:pPr>
      <w:r>
        <w:t>TITRE II — Membres</w:t>
      </w:r>
    </w:p>
    <w:p>
      <w:pPr>
        <w:pStyle w:val="Heading2"/>
      </w:pPr>
      <w:r>
        <w:t>Article 5 — Composition</w:t>
      </w:r>
    </w:p>
    <w:p>
      <w:r>
        <w:t>L'association se compose de :</w:t>
      </w:r>
    </w:p>
    <w:p>
      <w:r>
        <w:t>- membres fondateurs : les personnes qui ont signé les présents statuts à la constitution ;</w:t>
      </w:r>
    </w:p>
    <w:p>
      <w:r>
        <w:t>- membres actifs : personnes physiques ou morales qui adhèrent aux statuts et participent à la vie de l'association ;</w:t>
      </w:r>
    </w:p>
    <w:p>
      <w:r>
        <w:t>- membres habitants : les personnes qui résident dans un habitat porté par l'association, qui sont membres de droit sur simple demande et sans cotisation obligatoire ;</w:t>
      </w:r>
    </w:p>
    <w:p>
      <w:r>
        <w:t>- membres partenaires ou bienfaiteurs : personnes ou organismes qui soutiennent l'association par un don ou une aide, sans droit de vote [OPTION : avec voix consultative].</w:t>
      </w:r>
    </w:p>
    <w:p>
      <w:pPr>
        <w:pStyle w:val="Heading2"/>
      </w:pPr>
      <w:r>
        <w:t>Article 6 — Admission</w:t>
      </w:r>
    </w:p>
    <w:p>
      <w:r>
        <w:t>Toute personne souscrit aux présents statuts et, le cas échéant, au règlement intérieur. Le conseil d'administration statue sur les demandes d'adhésion et n'a pas à motiver son refus. L'adhésion d'un habitant ne peut être refusée que pour un motif sérieux tenant à l'objet de l'association.</w:t>
      </w:r>
    </w:p>
    <w:p>
      <w:pPr>
        <w:pStyle w:val="Heading2"/>
      </w:pPr>
      <w:r>
        <w:t>Article 7 — Cotisation</w:t>
      </w:r>
    </w:p>
    <w:p>
      <w:r>
        <w:t>Le montant de la cotisation annuelle est fixé par l'assemblée générale. Les membres habitants peuvent être dispensés de cotisation.</w:t>
      </w:r>
    </w:p>
    <w:p>
      <w:pPr>
        <w:pStyle w:val="Heading2"/>
      </w:pPr>
      <w:r>
        <w:t>Article 8 — Perte de la qualité de membre</w:t>
      </w:r>
    </w:p>
    <w:p>
      <w:r>
        <w:t>La qualité de membre se perd par la démission, adressée par écrit au président ; le décès ; le non-paiement de la cotisation après relance ; la radiation prononcée par le conseil d'administration pour motif grave, après que l'intéressé a été invité à présenter ses explications. La perte de la qualité d'habitant n'entraîne pas automatiquement la perte de la qualité de membre.</w:t>
      </w:r>
    </w:p>
    <w:p>
      <w:pPr>
        <w:pStyle w:val="Heading2"/>
      </w:pPr>
      <w:r>
        <w:t>Article 9 — Ressources</w:t>
      </w:r>
    </w:p>
    <w:p>
      <w:r>
        <w:t>Les ressources de l'association comprennent : les cotisations ; les subventions publiques, notamment l'aide à la vie partagée ; les dons et legs ; les contributions volontaires des habitants aux activités partagées ; toute autre ressource autorisée par la loi.</w:t>
      </w:r>
    </w:p>
    <w:p>
      <w:r>
        <w:t>L'association a une gestion désintéressée. Aucun excédent n'est réparti entre les membres.</w:t>
      </w:r>
    </w:p>
    <w:p>
      <w:pPr>
        <w:pStyle w:val="Heading1"/>
      </w:pPr>
      <w:r>
        <w:t>TITRE III — Administration</w:t>
      </w:r>
    </w:p>
    <w:p>
      <w:pPr>
        <w:pStyle w:val="Heading2"/>
      </w:pPr>
      <w:r>
        <w:t>Article 10 — Conseil d'administration</w:t>
      </w:r>
    </w:p>
    <w:p>
      <w:r>
        <w:t>L'association est administrée par un conseil d'administration de [5 à 9] membres, élus par l'assemblée générale pour [2] ans, renouvelables par moitié [à préciser].</w:t>
      </w:r>
    </w:p>
    <w:p>
      <w:r>
        <w:t>Le conseil comprend :</w:t>
      </w:r>
    </w:p>
    <w:p>
      <w:r>
        <w:t>- un collège des membres fondateurs et actifs : [3] sièges ;</w:t>
      </w:r>
    </w:p>
    <w:p>
      <w:r>
        <w:t>- un collège des membres habitants : [1 à 2] sièges, ou des représentants désignés par les habitants ;</w:t>
      </w:r>
    </w:p>
    <w:p>
      <w:r>
        <w:t>- un collège de personnes qualifiées indépendantes (santé, médico-social, logement, vie locale) : [1 à 2] sièges.</w:t>
      </w:r>
    </w:p>
    <w:p>
      <w:r>
        <w:t>Règle d'indépendance : les administrateurs qui sont dirigeants, associés ou salariés d'une structure fournissant des services d'aide ou de soins aux habitants (notamment la SASU « De la Mémoire aux Soins ») ou propriétaire du logement ne peuvent représenter plus du tiers des membres du conseil. [Ajuster selon l'avis du Département.]</w:t>
      </w:r>
    </w:p>
    <w:p>
      <w:r>
        <w:t>Les fonctions d'administrateur sont gratuites.</w:t>
      </w:r>
    </w:p>
    <w:p>
      <w:pPr>
        <w:pStyle w:val="Heading2"/>
      </w:pPr>
      <w:r>
        <w:t>Article 11 — Fonctionnement du conseil</w:t>
      </w:r>
    </w:p>
    <w:p>
      <w:r>
        <w:t>Le conseil se réunit au moins [quatre] fois par an sur convocation du président ou à la demande du tiers de ses membres. Les décisions sont prises à la majorité des membres présents ou représentés ; la voix du président est prépondérante en cas d'égalité. Le conseil délibère valablement si la moitié de ses membres est présente. Un procès-verbal est rédigé après chaque réunion.</w:t>
      </w:r>
    </w:p>
    <w:p>
      <w:pPr>
        <w:pStyle w:val="Heading2"/>
      </w:pPr>
      <w:r>
        <w:t>Article 12 — Bureau</w:t>
      </w:r>
    </w:p>
    <w:p>
      <w:r>
        <w:t>Le conseil élit parmi ses membres un bureau comprenant au moins : un président, un trésorier, un secrétaire.</w:t>
      </w:r>
    </w:p>
    <w:p>
      <w:r>
        <w:t>Le président représente l'association en justice et dans les actes de la vie civile.</w:t>
      </w:r>
    </w:p>
    <w:p>
      <w:r>
        <w:t>Disposition transitoire : à la constitution, [Prénom Nom], fondatrice, exerce la présidence à titre provisoire pour une durée maximale de [12] mois, afin d'assurer le lancement du projet. À l'issue de cette période, ou plus tôt à sa demande, un nouveau président est élu par le conseil d'administration, la fondatrice pouvant rester administratrice. Cette disposition vaut aussi pour toute succession ultérieure.</w:t>
      </w:r>
    </w:p>
    <w:p>
      <w:r>
        <w:t>Limite du mandat du président : [deux mandats consécutifs] [OPTION].</w:t>
      </w:r>
    </w:p>
    <w:p>
      <w:pPr>
        <w:pStyle w:val="Heading2"/>
      </w:pPr>
      <w:r>
        <w:t>Article 13 — Direction du projet et personnel</w:t>
      </w:r>
    </w:p>
    <w:p>
      <w:r>
        <w:t>L'association peut employer du personnel, notamment un animateur du projet de vie sociale et partagée, placé sous l'autorité du président et du conseil d'administration.</w:t>
      </w:r>
    </w:p>
    <w:p>
      <w:pPr>
        <w:pStyle w:val="Heading2"/>
      </w:pPr>
      <w:r>
        <w:t>Article 14 — Conflits d'intérêts et conventions</w:t>
      </w:r>
    </w:p>
    <w:p>
      <w:r>
        <w:t>Toute convention conclue entre l'association et l'un de ses administrateurs, ou une structure dans laquelle il exerce des fonctions de direction (notamment un service d'aide à domicile ou le propriétaire du logement), est soumise à l'autorisation préalable du conseil d'administration, l'intéressé ne prenant pas part au vote, puis portée à la connaissance de l'assemblée générale.</w:t>
      </w:r>
    </w:p>
    <w:p>
      <w:pPr>
        <w:pStyle w:val="Heading1"/>
      </w:pPr>
      <w:r>
        <w:t>TITRE IV — Assemblées générales</w:t>
      </w:r>
    </w:p>
    <w:p>
      <w:pPr>
        <w:pStyle w:val="Heading2"/>
      </w:pPr>
      <w:r>
        <w:t>Article 15 — Assemblée générale ordinaire</w:t>
      </w:r>
    </w:p>
    <w:p>
      <w:r>
        <w:t>L'assemblée générale ordinaire réunit tous les membres. Elle se réunit au moins une fois par an. Les membres sont convoqués au moins [15] jours à l'avance, avec l'ordre du jour. Elle entend les rapports moral et financier, approuve les comptes, vote le budget, fixe la cotisation et pourvoit au renouvellement du conseil d'administration.</w:t>
      </w:r>
    </w:p>
    <w:p>
      <w:r>
        <w:t>Chaque membre dispose d'une voix. Les membres peuvent se faire représenter par un autre membre ; chaque membre ne peut détenir plus de [deux] pouvoirs. Les décisions sont prises à la majorité des voix des membres présents ou représentés.</w:t>
      </w:r>
    </w:p>
    <w:p>
      <w:pPr>
        <w:pStyle w:val="Heading2"/>
      </w:pPr>
      <w:r>
        <w:t>Article 16 — Assemblée générale extraordinaire</w:t>
      </w:r>
    </w:p>
    <w:p>
      <w:r>
        <w:t>Elle est compétente pour modifier les statuts et décider de la dissolution. Elle est convoquée par le conseil d'administration ou à la demande du quart des membres. Les décisions sont prises à la majorité des deux tiers des membres présents ou représentés.</w:t>
      </w:r>
    </w:p>
    <w:p>
      <w:pPr>
        <w:pStyle w:val="Heading2"/>
      </w:pPr>
      <w:r>
        <w:t>Article 17 — Habitants et participation</w:t>
      </w:r>
    </w:p>
    <w:p>
      <w:r>
        <w:t>Les habitants participent à l'élaboration et au pilotage du projet de vie sociale et partagée. Une charte de vie commune, approuvée par les habitants, est annexée au règlement intérieur et révisée chaque année avec eux.</w:t>
      </w:r>
    </w:p>
    <w:p>
      <w:pPr>
        <w:pStyle w:val="Heading1"/>
      </w:pPr>
      <w:r>
        <w:t>TITRE V — Dispositions diverses</w:t>
      </w:r>
    </w:p>
    <w:p>
      <w:pPr>
        <w:pStyle w:val="Heading2"/>
      </w:pPr>
      <w:r>
        <w:t>Article 18 — Règlement intérieur</w:t>
      </w:r>
    </w:p>
    <w:p>
      <w:r>
        <w:t>Un règlement intérieur, établi par le conseil d'administration et approuvé par l'assemblée générale, précise les modalités de fonctionnement non prévues par les statuts.</w:t>
      </w:r>
    </w:p>
    <w:p>
      <w:pPr>
        <w:pStyle w:val="Heading2"/>
      </w:pPr>
      <w:r>
        <w:t>Article 19 — Modification des statuts</w:t>
      </w:r>
    </w:p>
    <w:p>
      <w:r>
        <w:t>Les statuts sont modifiés par l'assemblée générale extraordinaire. Les modifications relatives à l'objet, au siège et aux dirigeants sont déclarées à la préfecture dans les trois mois (article 5 de la loi du 1er juillet 1901).</w:t>
      </w:r>
    </w:p>
    <w:p>
      <w:pPr>
        <w:pStyle w:val="Heading2"/>
      </w:pPr>
      <w:r>
        <w:t>Article 20 — Dissolution</w:t>
      </w:r>
    </w:p>
    <w:p>
      <w:r>
        <w:t>En cas de dissolution prononcée par l'assemblée générale extraordinaire, un ou plusieurs liquidateurs sont nommés. L'actif net est dévolu à une ou plusieurs associations poursuivant un objet similaire, désignées par l'assemblée générale. Aucun membre ne peut s'attribuer une part de l'actif (article 9 de la loi du 1er juillet 1901).</w:t>
      </w:r>
    </w:p>
    <w:p>
      <w:r>
        <w:br/>
        <w:t>Fait à [commune], le [date], en [nombre] exemplaires originaux.</w:t>
      </w:r>
    </w:p>
    <w:p>
      <w:r>
        <w:t>Signatures des membres fondateurs :</w:t>
        <w:br/>
        <w:br/>
        <w:t>[Nom, prénom, signature]    [Nom, prénom, signature]    [Nom, prénom, signature]</w:t>
      </w:r>
    </w:p>
    <w:p>
      <w:r>
        <w:br w:type="page"/>
      </w:r>
    </w:p>
    <w:p>
      <w:pPr>
        <w:pStyle w:val="Heading1"/>
      </w:pPr>
      <w:r>
        <w:t>Points à décider avant de signer</w:t>
      </w:r>
    </w:p>
    <w:p>
      <w:pPr>
        <w:pStyle w:val="ListBullet"/>
      </w:pPr>
      <w:r>
        <w:t>Nom et sigle de l'association (vérifier la disponibilité sur le Journal officiel et l'INPI).</w:t>
      </w:r>
    </w:p>
    <w:p>
      <w:pPr>
        <w:pStyle w:val="ListBullet"/>
      </w:pPr>
      <w:r>
        <w:t>Siège : indépendant de DMS pour conforter la séparation entre logement et services.</w:t>
      </w:r>
    </w:p>
    <w:p>
      <w:pPr>
        <w:pStyle w:val="ListBullet"/>
      </w:pPr>
      <w:r>
        <w:t>Composition du conseil d'administration : part d'administrateurs indépendants et sièges réservés aux habitants.</w:t>
      </w:r>
    </w:p>
    <w:p>
      <w:pPr>
        <w:pStyle w:val="ListBullet"/>
      </w:pPr>
      <w:r>
        <w:t>Durée du mandat de la présidence provisoire (la proposition est de 12 mois).</w:t>
      </w:r>
    </w:p>
    <w:p>
      <w:pPr>
        <w:pStyle w:val="ListBullet"/>
      </w:pPr>
      <w:r>
        <w:t>Rémunération : les statuts prévoient des fonctions gratuites ; tout salarié (animateur) est recruté par le conseil.</w:t>
      </w:r>
    </w:p>
    <w:p>
      <w:pPr>
        <w:pStyle w:val="ListBullet"/>
      </w:pPr>
      <w:r>
        <w:t>Objet : vérifier auprès du Département que la rédaction de l'objet correspond au cahier des charges de l'AVP.</w:t>
      </w:r>
    </w:p>
    <w:p>
      <w:pPr>
        <w:pStyle w:val="ListBullet"/>
      </w:pPr>
      <w:r>
        <w:t>Éligibilité à l'AVP : l'objet doit viser des habitats accueillant des personnes âgées ou handicapées, y compris en habitat mixte.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