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Projet de vie sociale et partagée (PVSP)</w:t>
      </w:r>
    </w:p>
    <w:p>
      <w:r>
        <w:rPr>
          <w:i/>
        </w:rPr>
        <w:t>Trame de rédaction — habitat inclusif [nom du projet], [commune], Marne</w:t>
      </w:r>
    </w:p>
    <w:p>
      <w:r>
        <w:rPr>
          <w:color w:val="666666"/>
          <w:sz w:val="18"/>
        </w:rPr>
        <w:t>Document de travail rédigé le 23/10/2026 à partir de recherches en ligne. Les éléments entre crochets sont à compléter ; les points marqués « à vérifier » doivent être confirmés auprès du Département ou d'un conseil juridique.</w:t>
      </w:r>
    </w:p>
    <w:p>
      <w:r>
        <w:t>Cadre : article L. 281-1 du CASF ; arrêté du 24 juin 2019 fixant le cahier des charges national (version en vigueur à vérifier sur Légifrance). Le projet est élaboré avec les habitants, qui le pilotent avec l'appui du porteur. Il prévoit au minimum des activités ouvertes à tous, sans obligation de participation.</w:t>
      </w:r>
    </w:p>
    <w:p>
      <w:pPr>
        <w:pStyle w:val="Heading1"/>
      </w:pPr>
      <w:r>
        <w:t>1. Présentation du projet</w:t>
      </w:r>
    </w:p>
    <w:p>
      <w:pPr>
        <w:pStyle w:val="ListBullet"/>
      </w:pPr>
      <w:r>
        <w:t>Nom de l'habitat, adresse, nombre de logements et d'habitants prévus (5 à 7).</w:t>
      </w:r>
    </w:p>
    <w:p>
      <w:pPr>
        <w:pStyle w:val="ListBullet"/>
      </w:pPr>
      <w:r>
        <w:t>Description des espaces privatifs et des espaces partagés (salon, cuisine, jardin, salle d'activités).</w:t>
      </w:r>
    </w:p>
    <w:p>
      <w:pPr>
        <w:pStyle w:val="ListBullet"/>
      </w:pPr>
      <w:r>
        <w:t>Raison d'être du projet et besoin local objectivé [données du territoire].</w:t>
      </w:r>
    </w:p>
    <w:p>
      <w:r>
        <w:t>Rédaction : [à compléter]</w:t>
      </w:r>
    </w:p>
    <w:p>
      <w:pPr>
        <w:pStyle w:val="Heading1"/>
      </w:pPr>
      <w:r>
        <w:t>2. Le public et les conditions d'admission</w:t>
      </w:r>
    </w:p>
    <w:p>
      <w:pPr>
        <w:pStyle w:val="ListBullet"/>
      </w:pPr>
      <w:r>
        <w:t>Public accueilli : personnes âgées, personnes en situation de handicap, autres personnes (intergénérationnel).</w:t>
      </w:r>
    </w:p>
    <w:p>
      <w:pPr>
        <w:pStyle w:val="ListBullet"/>
      </w:pPr>
      <w:r>
        <w:t>Résidence principale de chaque habitant, bail individuel.</w:t>
      </w:r>
    </w:p>
    <w:p>
      <w:pPr>
        <w:pStyle w:val="ListBullet"/>
      </w:pPr>
      <w:r>
        <w:t>Conditions d'admission : pas de critère de GIR ni d'orientation MDPH exigé au niveau national ; préciser vos critères et la part d'habitants éligibles à l'AVP [à vérifier auprès du Département].</w:t>
      </w:r>
    </w:p>
    <w:p>
      <w:pPr>
        <w:pStyle w:val="ListBullet"/>
      </w:pPr>
      <w:r>
        <w:t>Procédure : visite, rencontre avec les habitants, période d'essai éventuelle, commission d'attribution.</w:t>
      </w:r>
    </w:p>
    <w:p>
      <w:r>
        <w:t>Rédaction : [à compléter]</w:t>
      </w:r>
    </w:p>
    <w:p>
      <w:pPr>
        <w:pStyle w:val="Heading1"/>
      </w:pPr>
      <w:r>
        <w:t>3. Valeurs et principes</w:t>
      </w:r>
    </w:p>
    <w:p>
      <w:pPr>
        <w:pStyle w:val="ListBullet"/>
      </w:pPr>
      <w:r>
        <w:t>Choix de vie des habitants, respect de la vie privée, citoyenneté.</w:t>
      </w:r>
    </w:p>
    <w:p>
      <w:pPr>
        <w:pStyle w:val="ListBullet"/>
      </w:pPr>
      <w:r>
        <w:t>Le logement est un domicile, pas un établissement : aucune prestation d'aide n'est imposée.</w:t>
      </w:r>
    </w:p>
    <w:p>
      <w:pPr>
        <w:pStyle w:val="ListBullet"/>
      </w:pPr>
      <w:r>
        <w:t>Ouverture sur le quartier ou le village.</w:t>
      </w:r>
    </w:p>
    <w:p>
      <w:r>
        <w:t>Rédaction : [à compléter]</w:t>
      </w:r>
    </w:p>
    <w:p>
      <w:pPr>
        <w:pStyle w:val="Heading1"/>
      </w:pPr>
      <w:r>
        <w:t>4. Activités de vie sociale et partagée</w:t>
      </w:r>
    </w:p>
    <w:p>
      <w:pPr>
        <w:pStyle w:val="ListBullet"/>
      </w:pPr>
      <w:r>
        <w:t>Activités ouvertes à tous, sans obligation de participation : repas partagés, jardinage, musique, sorties, ateliers, fêtes locales.</w:t>
      </w:r>
    </w:p>
    <w:p>
      <w:pPr>
        <w:pStyle w:val="ListBullet"/>
      </w:pPr>
      <w:r>
        <w:t>Rythme (hebdomadaire / mensuel) et responsable de chaque activité.</w:t>
      </w:r>
    </w:p>
    <w:p>
      <w:pPr>
        <w:pStyle w:val="ListBullet"/>
      </w:pPr>
      <w:r>
        <w:t>Activités avec les voisins, associations, écoles, commerces [partenaires à nommer].</w:t>
      </w:r>
    </w:p>
    <w:p>
      <w:r>
        <w:t>Rédaction : [à compléter]</w:t>
      </w:r>
    </w:p>
    <w:p>
      <w:pPr>
        <w:pStyle w:val="Heading1"/>
      </w:pPr>
      <w:r>
        <w:t>5. Participation et pouvoir d'agir des habitants</w:t>
      </w:r>
    </w:p>
    <w:p>
      <w:pPr>
        <w:pStyle w:val="ListBullet"/>
      </w:pPr>
      <w:r>
        <w:t>Instances : réunion mensuelle des habitants, conseil de maison, représentant des habitants au conseil d'administration de l'association.</w:t>
      </w:r>
    </w:p>
    <w:p>
      <w:pPr>
        <w:pStyle w:val="ListBullet"/>
      </w:pPr>
      <w:r>
        <w:t>Comment les décisions sont prises (règles de vie, budget de la vie partagée, arrivée d'un nouvel habitant).</w:t>
      </w:r>
    </w:p>
    <w:p>
      <w:pPr>
        <w:pStyle w:val="ListBullet"/>
      </w:pPr>
      <w:r>
        <w:t>Charte de vie commune, réécrite chaque année avec les habitants.</w:t>
      </w:r>
    </w:p>
    <w:p>
      <w:r>
        <w:t>Rédaction : [à compléter]</w:t>
      </w:r>
    </w:p>
    <w:p>
      <w:pPr>
        <w:pStyle w:val="Heading1"/>
      </w:pPr>
      <w:r>
        <w:t>6. Libre choix des services d'aide et de soins</w:t>
      </w:r>
    </w:p>
    <w:p>
      <w:pPr>
        <w:pStyle w:val="ListBullet"/>
      </w:pPr>
      <w:r>
        <w:t>Chaque habitant choisit librement son service d'aide à domicile, son médecin, son infirmier, son SSIAD [à préciser].</w:t>
      </w:r>
    </w:p>
    <w:p>
      <w:pPr>
        <w:pStyle w:val="ListBullet"/>
      </w:pPr>
      <w:r>
        <w:t>DMS n'est pas imposée ; elle peut être choisie parmi d'autres services, avec une contractualisation séparée du bail.</w:t>
      </w:r>
    </w:p>
    <w:p>
      <w:pPr>
        <w:pStyle w:val="ListBullet"/>
      </w:pPr>
      <w:r>
        <w:t>Aucun lien de dépendance financière entre le bail et les prestations d'aide.</w:t>
      </w:r>
    </w:p>
    <w:p>
      <w:r>
        <w:t>Rédaction : [à compléter]</w:t>
      </w:r>
    </w:p>
    <w:p>
      <w:pPr>
        <w:pStyle w:val="Heading1"/>
      </w:pPr>
      <w:r>
        <w:t>7. Le porteur : l'association</w:t>
      </w:r>
    </w:p>
    <w:p>
      <w:pPr>
        <w:pStyle w:val="ListBullet"/>
      </w:pPr>
      <w:r>
        <w:t>Statuts, objet, composition du conseil d'administration (membres indépendants de DMS).</w:t>
      </w:r>
    </w:p>
    <w:p>
      <w:pPr>
        <w:pStyle w:val="ListBullet"/>
      </w:pPr>
      <w:r>
        <w:t>Salariés : animateur (ETP prévu), qualification, supervision.</w:t>
      </w:r>
    </w:p>
    <w:p>
      <w:pPr>
        <w:pStyle w:val="ListBullet"/>
      </w:pPr>
      <w:r>
        <w:t>Gouvernance à terme : retrait de la fondatrice de la direction, règles de reprise.</w:t>
      </w:r>
    </w:p>
    <w:p>
      <w:r>
        <w:t>Rédaction : [à compléter]</w:t>
      </w:r>
    </w:p>
    <w:p>
      <w:pPr>
        <w:pStyle w:val="Heading1"/>
      </w:pPr>
      <w:r>
        <w:t>8. Le propriétaire et la relation locative</w:t>
      </w:r>
    </w:p>
    <w:p>
      <w:pPr>
        <w:pStyle w:val="ListBullet"/>
      </w:pPr>
      <w:r>
        <w:t>Propriétaire [bailleur social / foncière / SCI], convention entre le propriétaire et l'association.</w:t>
      </w:r>
    </w:p>
    <w:p>
      <w:pPr>
        <w:pStyle w:val="ListBullet"/>
      </w:pPr>
      <w:r>
        <w:t>Baux individuels de droit commun, loyers [montants], charges, dépôt de garantie.</w:t>
      </w:r>
    </w:p>
    <w:p>
      <w:pPr>
        <w:pStyle w:val="ListBullet"/>
      </w:pPr>
      <w:r>
        <w:t>Maintenance et travaux : qui fait quoi.</w:t>
      </w:r>
    </w:p>
    <w:p>
      <w:r>
        <w:t>Rédaction : [à compléter]</w:t>
      </w:r>
    </w:p>
    <w:p>
      <w:pPr>
        <w:pStyle w:val="Heading1"/>
      </w:pPr>
      <w:r>
        <w:t>9. Partenariats</w:t>
      </w:r>
    </w:p>
    <w:p>
      <w:pPr>
        <w:pStyle w:val="ListBullet"/>
      </w:pPr>
      <w:r>
        <w:t>Partenaires institutionnels : Département, CARSAT, MSA, commune [à confirmer].</w:t>
      </w:r>
    </w:p>
    <w:p>
      <w:pPr>
        <w:pStyle w:val="ListBullet"/>
      </w:pPr>
      <w:r>
        <w:t>Partenaires de santé et de soins : médecins, SSIAD, hôpital local [à nommer].</w:t>
      </w:r>
    </w:p>
    <w:p>
      <w:pPr>
        <w:pStyle w:val="ListBullet"/>
      </w:pPr>
      <w:r>
        <w:t>Partenaires de la vie locale : associations, bénévoles, commerces.</w:t>
      </w:r>
    </w:p>
    <w:p>
      <w:r>
        <w:t>Rédaction : [à compléter]</w:t>
      </w:r>
    </w:p>
    <w:p>
      <w:pPr>
        <w:pStyle w:val="Heading1"/>
      </w:pPr>
      <w:r>
        <w:t>10. Modèle économique</w:t>
      </w:r>
    </w:p>
    <w:p>
      <w:pPr>
        <w:pStyle w:val="ListBullet"/>
      </w:pPr>
      <w:r>
        <w:t>Recettes : loyers (propriétaire), AVP (association), participations volontaires aux frais partagés.</w:t>
      </w:r>
    </w:p>
    <w:p>
      <w:pPr>
        <w:pStyle w:val="ListBullet"/>
      </w:pPr>
      <w:r>
        <w:t>Dépenses : animateur, assurance, frais de fonctionnement, entretien.</w:t>
      </w:r>
    </w:p>
    <w:p>
      <w:pPr>
        <w:pStyle w:val="ListBullet"/>
      </w:pPr>
      <w:r>
        <w:t>Renvoi au tableur « 3_Modele_economique_habitat_inclusif.xlsx ».</w:t>
      </w:r>
    </w:p>
    <w:p>
      <w:r>
        <w:t>Rédaction : [à compléter]</w:t>
      </w:r>
    </w:p>
    <w:p>
      <w:pPr>
        <w:pStyle w:val="Heading1"/>
      </w:pPr>
      <w:r>
        <w:t>11. Sécurité, droits et protection</w:t>
      </w:r>
    </w:p>
    <w:p>
      <w:pPr>
        <w:pStyle w:val="ListBullet"/>
      </w:pPr>
      <w:r>
        <w:t>Accessibilité et sécurité incendie (règles à vérifier avec le SDIS et la DDT).</w:t>
      </w:r>
    </w:p>
    <w:p>
      <w:pPr>
        <w:pStyle w:val="ListBullet"/>
      </w:pPr>
      <w:r>
        <w:t>Protection des données des habitants (RGPD).</w:t>
      </w:r>
    </w:p>
    <w:p>
      <w:pPr>
        <w:pStyle w:val="ListBullet"/>
      </w:pPr>
      <w:r>
        <w:t>Procédure de réclamation et de médiation, recours externe.</w:t>
      </w:r>
    </w:p>
    <w:p>
      <w:r>
        <w:t>Rédaction : [à compléter]</w:t>
      </w:r>
    </w:p>
    <w:p>
      <w:pPr>
        <w:pStyle w:val="Heading1"/>
      </w:pPr>
      <w:r>
        <w:t>12. Évaluation</w:t>
      </w:r>
    </w:p>
    <w:p>
      <w:pPr>
        <w:pStyle w:val="ListBullet"/>
      </w:pPr>
      <w:r>
        <w:t>Indicateurs : taux de participation volontaire, satisfaction des habitants, rotation, sorties vers un établissement.</w:t>
      </w:r>
    </w:p>
    <w:p>
      <w:pPr>
        <w:pStyle w:val="ListBullet"/>
      </w:pPr>
      <w:r>
        <w:t>Bilan annuel présenté aux habitants et au Département.</w:t>
      </w:r>
    </w:p>
    <w:p>
      <w:r>
        <w:t>Rédaction : [à compléter]</w:t>
      </w:r>
    </w:p>
    <w:p>
      <w:pPr>
        <w:pStyle w:val="Heading1"/>
      </w:pPr>
      <w:r>
        <w:t>13. Calendrier et annexes</w:t>
      </w:r>
    </w:p>
    <w:p>
      <w:pPr>
        <w:pStyle w:val="ListBullet"/>
      </w:pPr>
      <w:r>
        <w:t>Calendrier de mise en œuvre.</w:t>
      </w:r>
    </w:p>
    <w:p>
      <w:pPr>
        <w:pStyle w:val="ListBullet"/>
      </w:pPr>
      <w:r>
        <w:t>Annexes : statuts de l'association, charte des habitants, plan de financement, lettres de soutien, modèle de bail.</w:t>
      </w:r>
    </w:p>
    <w:p>
      <w:r>
        <w:t>Rédaction : [à compléter]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