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jpg" ContentType="image/jpe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68032" cy="377999"/>
            <wp:effectExtent b="0" l="0" r="0" t="0"/>
            <wp:docPr descr="image" title="" id="10" name="Picture"/>
            <a:graphic>
              <a:graphicData uri="http://schemas.openxmlformats.org/drawingml/2006/picture">
                <pic:pic>
                  <pic:nvPicPr>
                    <pic:cNvPr descr="images/page-de-garde/drapeau_senegal.png" id="11" name="Picture"/>
                    <pic:cNvPicPr>
                      <a:picLocks noChangeArrowheads="1" noChangeAspect="1"/>
                    </pic:cNvPicPr>
                  </pic:nvPicPr>
                  <pic:blipFill>
                    <a:blip r:embed="rId9"/>
                    <a:stretch>
                      <a:fillRect/>
                    </a:stretch>
                  </pic:blipFill>
                  <pic:spPr bwMode="auto">
                    <a:xfrm>
                      <a:off x="0" y="0"/>
                      <a:ext cx="568032" cy="377999"/>
                    </a:xfrm>
                    <a:prstGeom prst="rect">
                      <a:avLst/>
                    </a:prstGeom>
                    <a:noFill/>
                    <a:ln w="9525">
                      <a:noFill/>
                      <a:headEnd/>
                      <a:tailEnd/>
                    </a:ln>
                  </pic:spPr>
                </pic:pic>
              </a:graphicData>
            </a:graphic>
          </wp:inline>
        </w:drawing>
      </w:r>
      <w:r>
        <w:br/>
      </w:r>
      <w:r>
        <w:rPr>
          <w:b/>
          <w:bCs/>
        </w:rPr>
        <w:t xml:space="preserve">UNIVERSITÉ CHEIKH ANTA DIOP DE DAKAR</w:t>
      </w:r>
      <w:r>
        <w:br/>
      </w:r>
    </w:p>
    <w:p>
      <w:r>
        <w:pict>
          <v:rect style="width:0;height:1.5pt" o:hralign="center" o:hrstd="t" o:hr="t"/>
        </w:pict>
      </w:r>
    </w:p>
    <w:p>
      <w:pPr>
        <w:pStyle w:val="FirstParagraph"/>
      </w:pPr>
      <w:r>
        <w:br/>
      </w:r>
      <w:r>
        <w:drawing>
          <wp:inline>
            <wp:extent cx="557999" cy="557999"/>
            <wp:effectExtent b="0" l="0" r="0" t="0"/>
            <wp:docPr descr="image" title="" id="13" name="Picture"/>
            <a:graphic>
              <a:graphicData uri="http://schemas.openxmlformats.org/drawingml/2006/picture">
                <pic:pic>
                  <pic:nvPicPr>
                    <pic:cNvPr descr="images/page-de-garde/logo_ucad.png" id="14" name="Picture"/>
                    <pic:cNvPicPr>
                      <a:picLocks noChangeArrowheads="1" noChangeAspect="1"/>
                    </pic:cNvPicPr>
                  </pic:nvPicPr>
                  <pic:blipFill>
                    <a:blip r:embed="rId12"/>
                    <a:stretch>
                      <a:fillRect/>
                    </a:stretch>
                  </pic:blipFill>
                  <pic:spPr bwMode="auto">
                    <a:xfrm>
                      <a:off x="0" y="0"/>
                      <a:ext cx="557999" cy="557999"/>
                    </a:xfrm>
                    <a:prstGeom prst="rect">
                      <a:avLst/>
                    </a:prstGeom>
                    <a:noFill/>
                    <a:ln w="9525">
                      <a:noFill/>
                      <a:headEnd/>
                      <a:tailEnd/>
                    </a:ln>
                  </pic:spPr>
                </pic:pic>
              </a:graphicData>
            </a:graphic>
          </wp:inline>
        </w:drawing>
      </w:r>
      <w:r>
        <w:br/>
      </w:r>
      <w:r>
        <w:rPr>
          <w:b/>
          <w:bCs/>
        </w:rPr>
        <w:t xml:space="preserve">ÉCOLE SUPÉRIEURE POLYTECHNIQUE</w:t>
      </w:r>
      <w:r>
        <w:br/>
      </w:r>
    </w:p>
    <w:p>
      <w:r>
        <w:pict>
          <v:rect style="width:0;height:1.5pt" o:hralign="center" o:hrstd="t" o:hr="t"/>
        </w:pict>
      </w:r>
    </w:p>
    <w:p>
      <w:pPr>
        <w:pStyle w:val="FirstParagraph"/>
      </w:pPr>
      <w:r>
        <w:br/>
      </w:r>
      <w:r>
        <w:rPr>
          <w:b/>
          <w:bCs/>
          <w:i/>
          <w:iCs/>
          <w:u w:val="single"/>
        </w:rPr>
        <w:t xml:space="preserve">DÉPARTEMENT GÉNIE INFORMATIQUE</w:t>
      </w:r>
      <w:r>
        <w:br/>
      </w:r>
    </w:p>
    <w:p>
      <w:r>
        <w:pict>
          <v:rect style="width:0;height:1.5pt" o:hralign="center" o:hrstd="t" o:hr="t"/>
        </w:pict>
      </w:r>
    </w:p>
    <w:p>
      <w:pPr>
        <w:pStyle w:val="FirstParagraph"/>
      </w:pPr>
      <w:r>
        <w:br/>
      </w:r>
    </w:p>
    <w:p>
      <w:pPr>
        <w:pStyle w:val="BodyText"/>
      </w:pPr>
      <w:r>
        <w:rPr>
          <w:b/>
          <w:bCs/>
        </w:rPr>
        <w:t xml:space="preserve">MÉMOIRE DE FIN DE CYCLE</w:t>
      </w:r>
      <w:r>
        <w:br/>
      </w:r>
      <w:r>
        <w:rPr>
          <w:b/>
          <w:bCs/>
        </w:rPr>
        <w:t xml:space="preserve">Pour l’obtention du :</w:t>
      </w:r>
      <w:r>
        <w:br/>
      </w:r>
      <w:r>
        <w:rPr>
          <w:b/>
          <w:bCs/>
        </w:rPr>
        <w:t xml:space="preserve">DIPLÔME D’INGÉNIEUR DE CONCEPTION EN GÉNIE INFORMATIQUE</w:t>
      </w:r>
      <w:r>
        <w:br/>
      </w:r>
      <w:r>
        <w:rPr>
          <w:b/>
          <w:bCs/>
        </w:rPr>
        <w:t xml:space="preserve">OPTION : INFORMATIQUE</w:t>
      </w:r>
    </w:p>
    <w:p>
      <w:pPr>
        <w:pStyle w:val="BodyText"/>
      </w:pPr>
      <w:r>
        <w:rPr>
          <w:b/>
          <w:bCs/>
          <w:u w:val="single"/>
        </w:rPr>
        <w:t xml:space="preserve">SUJET :</w:t>
      </w:r>
      <w:r>
        <w:br/>
      </w:r>
      <w:r>
        <w:t xml:space="preserve"> </w:t>
      </w:r>
      <w:r>
        <w:rPr>
          <w:i/>
          <w:iCs/>
        </w:rPr>
        <w:t xml:space="preserve">Conception d’un système d’information bancaire intelligent : cas des modules</w:t>
      </w:r>
      <w:r>
        <w:rPr>
          <w:i/>
          <w:iCs/>
        </w:rPr>
        <w:t xml:space="preserve"> </w:t>
      </w:r>
      <w:r>
        <w:rPr>
          <w:i/>
          <w:iCs/>
        </w:rPr>
        <w:t xml:space="preserve">Relation Client et SGI (Société de Gestion et d’Intermédiation).</w:t>
      </w:r>
    </w:p>
    <w:p>
      <w:pPr>
        <w:pStyle w:val="BodyText"/>
      </w:pPr>
      <w:r>
        <w:rPr>
          <w:b/>
          <w:bCs/>
        </w:rPr>
        <w:t xml:space="preserve">Lieu de stage :</w:t>
      </w:r>
      <w:r>
        <w:t xml:space="preserve"> </w:t>
      </w:r>
      <w:r>
        <w:rPr>
          <w:b/>
          <w:bCs/>
        </w:rPr>
        <w:t xml:space="preserve">INNOV4AFRICA</w:t>
      </w:r>
      <w:r>
        <w:t xml:space="preserve"> </w:t>
      </w:r>
      <w:r>
        <w:rPr>
          <w:b/>
          <w:bCs/>
        </w:rPr>
        <w:t xml:space="preserve">Période de stage :</w:t>
      </w:r>
      <w:r>
        <w:t xml:space="preserve"> </w:t>
      </w:r>
      <w:r>
        <w:rPr>
          <w:b/>
          <w:bCs/>
        </w:rPr>
        <w:t xml:space="preserve">15/08/2025 – 30/06/2026</w:t>
      </w:r>
    </w:p>
    <w:p>
      <w:pPr>
        <w:pStyle w:val="BodyText"/>
      </w:pPr>
      <w:r>
        <w:drawing>
          <wp:inline>
            <wp:extent cx="737999" cy="737999"/>
            <wp:effectExtent b="0" l="0" r="0" t="0"/>
            <wp:docPr descr="image" title="" id="16" name="Picture"/>
            <a:graphic>
              <a:graphicData uri="http://schemas.openxmlformats.org/drawingml/2006/picture">
                <pic:pic>
                  <pic:nvPicPr>
                    <pic:cNvPr descr="images/page-de-garde/innov4africa_logo.jpg" id="17" name="Picture"/>
                    <pic:cNvPicPr>
                      <a:picLocks noChangeArrowheads="1" noChangeAspect="1"/>
                    </pic:cNvPicPr>
                  </pic:nvPicPr>
                  <pic:blipFill>
                    <a:blip r:embed="rId15"/>
                    <a:stretch>
                      <a:fillRect/>
                    </a:stretch>
                  </pic:blipFill>
                  <pic:spPr bwMode="auto">
                    <a:xfrm>
                      <a:off x="0" y="0"/>
                      <a:ext cx="737999" cy="737999"/>
                    </a:xfrm>
                    <a:prstGeom prst="rect">
                      <a:avLst/>
                    </a:prstGeom>
                    <a:noFill/>
                    <a:ln w="9525">
                      <a:noFill/>
                      <a:headEnd/>
                      <a:tailEnd/>
                    </a:ln>
                  </pic:spPr>
                </pic:pic>
              </a:graphicData>
            </a:graphic>
          </wp:inline>
        </w:drawing>
      </w:r>
    </w:p>
    <w:p>
      <w:pPr>
        <w:pStyle w:val="BodyText"/>
      </w:pPr>
      <w:r>
        <w:rPr>
          <w:b/>
          <w:bCs/>
        </w:rPr>
        <w:t xml:space="preserve">Présenté et soutenu par:</w:t>
      </w:r>
      <w:r>
        <w:t xml:space="preserve">Salif Biaye</w:t>
      </w:r>
      <w:r>
        <w:br/>
      </w:r>
      <w:r>
        <w:rPr>
          <w:b/>
          <w:bCs/>
        </w:rPr>
        <w:t xml:space="preserve">PROMOTION: 2026 – DATE DE SOUTENANCE: xx/07/2026</w:t>
      </w:r>
    </w:p>
    <w:p>
      <w:pPr>
        <w:pStyle w:val="BodyText"/>
      </w:pPr>
      <w:r>
        <w:rPr>
          <w:b/>
          <w:bCs/>
        </w:rPr>
        <w:t xml:space="preserve">MEMBRES DU JURY:</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PRÉSIDENT</w:t>
            </w:r>
          </w:p>
        </w:tc>
        <w:tc>
          <w:tcPr/>
          <w:p>
            <w:pPr>
              <w:pStyle w:val="Compact"/>
            </w:pPr>
          </w:p>
        </w:tc>
        <w:tc>
          <w:tcPr/>
          <w:p>
            <w:pPr>
              <w:pStyle w:val="Compact"/>
            </w:pPr>
          </w:p>
        </w:tc>
      </w:tr>
      <w:tr>
        <w:tc>
          <w:tcPr/>
          <w:p>
            <w:pPr>
              <w:pStyle w:val="Compact"/>
              <w:jc w:val="left"/>
            </w:pPr>
            <w:r>
              <w:t xml:space="preserve">RAPPORTEUR</w:t>
            </w:r>
          </w:p>
        </w:tc>
        <w:tc>
          <w:tcPr/>
          <w:p>
            <w:pPr>
              <w:pStyle w:val="Compact"/>
            </w:pPr>
          </w:p>
        </w:tc>
        <w:tc>
          <w:tcPr/>
          <w:p>
            <w:pPr>
              <w:pStyle w:val="Compact"/>
            </w:pPr>
          </w:p>
        </w:tc>
      </w:tr>
      <w:tr>
        <w:tc>
          <w:tcPr/>
          <w:p>
            <w:pPr>
              <w:pStyle w:val="Compact"/>
              <w:jc w:val="left"/>
            </w:pPr>
            <w:r>
              <w:t xml:space="preserve">EXAMINATEUR</w:t>
            </w:r>
          </w:p>
        </w:tc>
        <w:tc>
          <w:tcPr/>
          <w:p>
            <w:pPr>
              <w:pStyle w:val="Compact"/>
            </w:pPr>
          </w:p>
        </w:tc>
        <w:tc>
          <w:tcPr/>
          <w:p>
            <w:pPr>
              <w:pStyle w:val="Compact"/>
            </w:pPr>
          </w:p>
        </w:tc>
      </w:tr>
      <w:tr>
        <w:tc>
          <w:tcPr/>
          <w:p>
            <w:pPr>
              <w:pStyle w:val="Compact"/>
              <w:jc w:val="left"/>
            </w:pPr>
            <w:r>
              <w:t xml:space="preserve">ENCADRANT</w:t>
            </w:r>
          </w:p>
        </w:tc>
        <w:tc>
          <w:tcPr/>
          <w:p>
            <w:pPr>
              <w:pStyle w:val="Compact"/>
              <w:jc w:val="left"/>
            </w:pPr>
            <w:r>
              <w:t xml:space="preserve">Pr Ibrahima Fall</w:t>
            </w:r>
          </w:p>
        </w:tc>
        <w:tc>
          <w:tcPr/>
          <w:p>
            <w:pPr>
              <w:pStyle w:val="Compact"/>
              <w:jc w:val="left"/>
            </w:pPr>
            <w:r>
              <w:t xml:space="preserve">Maître de conférences</w:t>
            </w:r>
          </w:p>
        </w:tc>
      </w:tr>
      <w:tr>
        <w:tc>
          <w:tcPr/>
          <w:p>
            <w:pPr>
              <w:pStyle w:val="Compact"/>
              <w:jc w:val="left"/>
            </w:pPr>
            <w:r>
              <w:t xml:space="preserve">MAÎTRE DE STAGE</w:t>
            </w:r>
          </w:p>
        </w:tc>
        <w:tc>
          <w:tcPr/>
          <w:p>
            <w:pPr>
              <w:pStyle w:val="Compact"/>
              <w:jc w:val="left"/>
            </w:pPr>
            <w:r>
              <w:t xml:space="preserve">Khassoum WONE</w:t>
            </w:r>
          </w:p>
        </w:tc>
        <w:tc>
          <w:tcPr/>
          <w:p>
            <w:pPr>
              <w:pStyle w:val="Compact"/>
              <w:jc w:val="left"/>
            </w:pPr>
            <w:r>
              <w:t xml:space="preserve">Ingénieur Informatique</w:t>
            </w:r>
          </w:p>
        </w:tc>
      </w:tr>
      <w:tr>
        <w:tc>
          <w:tcPr/>
          <w:p>
            <w:pPr>
              <w:pStyle w:val="Compact"/>
              <w:jc w:val="left"/>
            </w:pPr>
            <w:r>
              <w:t xml:space="preserve">DIRECTEUR DE MÉMOIRE</w:t>
            </w:r>
          </w:p>
        </w:tc>
        <w:tc>
          <w:tcPr/>
          <w:p>
            <w:pPr>
              <w:pStyle w:val="Compact"/>
              <w:jc w:val="left"/>
            </w:pPr>
            <w:r>
              <w:t xml:space="preserve">Pr Ibrahima Fall</w:t>
            </w:r>
          </w:p>
        </w:tc>
        <w:tc>
          <w:tcPr/>
          <w:p>
            <w:pPr>
              <w:pStyle w:val="Compact"/>
              <w:jc w:val="left"/>
            </w:pPr>
            <w:r>
              <w:t xml:space="preserve">Maître de conférences</w:t>
            </w:r>
          </w:p>
        </w:tc>
      </w:tr>
    </w:tbl>
    <w:p>
      <w:pPr>
        <w:pStyle w:val="BodyText"/>
      </w:pPr>
      <w:r>
        <w:t xml:space="preserve">Année universitaire : 2025 - 2026</w:t>
      </w:r>
      <w:r>
        <w:br/>
      </w:r>
    </w:p>
    <w:p>
      <w:pPr>
        <w:pStyle w:val="BodyText"/>
      </w:pPr>
      <w:r>
        <w:drawing>
          <wp:inline>
            <wp:extent cx="568032" cy="377999"/>
            <wp:effectExtent b="0" l="0" r="0" t="0"/>
            <wp:docPr descr="image" title="" id="18" name="Picture"/>
            <a:graphic>
              <a:graphicData uri="http://schemas.openxmlformats.org/drawingml/2006/picture">
                <pic:pic>
                  <pic:nvPicPr>
                    <pic:cNvPr descr="images/page-de-garde/drapeau_senegal.png" id="19" name="Picture"/>
                    <pic:cNvPicPr>
                      <a:picLocks noChangeArrowheads="1" noChangeAspect="1"/>
                    </pic:cNvPicPr>
                  </pic:nvPicPr>
                  <pic:blipFill>
                    <a:blip r:embed="rId9"/>
                    <a:stretch>
                      <a:fillRect/>
                    </a:stretch>
                  </pic:blipFill>
                  <pic:spPr bwMode="auto">
                    <a:xfrm>
                      <a:off x="0" y="0"/>
                      <a:ext cx="568032" cy="377999"/>
                    </a:xfrm>
                    <a:prstGeom prst="rect">
                      <a:avLst/>
                    </a:prstGeom>
                    <a:noFill/>
                    <a:ln w="9525">
                      <a:noFill/>
                      <a:headEnd/>
                      <a:tailEnd/>
                    </a:ln>
                  </pic:spPr>
                </pic:pic>
              </a:graphicData>
            </a:graphic>
          </wp:inline>
        </w:drawing>
      </w:r>
      <w:r>
        <w:br/>
      </w:r>
      <w:r>
        <w:rPr>
          <w:b/>
          <w:bCs/>
        </w:rPr>
        <w:t xml:space="preserve">UNIVERSITÉ CHEIKH ANTA DIOP DE DAKAR</w:t>
      </w:r>
      <w:r>
        <w:br/>
      </w:r>
    </w:p>
    <w:p>
      <w:r>
        <w:pict>
          <v:rect style="width:0;height:1.5pt" o:hralign="center" o:hrstd="t" o:hr="t"/>
        </w:pict>
      </w:r>
    </w:p>
    <w:p>
      <w:pPr>
        <w:pStyle w:val="FirstParagraph"/>
      </w:pPr>
      <w:r>
        <w:br/>
      </w:r>
      <w:r>
        <w:drawing>
          <wp:inline>
            <wp:extent cx="557999" cy="557999"/>
            <wp:effectExtent b="0" l="0" r="0" t="0"/>
            <wp:docPr descr="image" title="" id="20" name="Picture"/>
            <a:graphic>
              <a:graphicData uri="http://schemas.openxmlformats.org/drawingml/2006/picture">
                <pic:pic>
                  <pic:nvPicPr>
                    <pic:cNvPr descr="images/page-de-garde/logo_ucad.png" id="21" name="Picture"/>
                    <pic:cNvPicPr>
                      <a:picLocks noChangeArrowheads="1" noChangeAspect="1"/>
                    </pic:cNvPicPr>
                  </pic:nvPicPr>
                  <pic:blipFill>
                    <a:blip r:embed="rId12"/>
                    <a:stretch>
                      <a:fillRect/>
                    </a:stretch>
                  </pic:blipFill>
                  <pic:spPr bwMode="auto">
                    <a:xfrm>
                      <a:off x="0" y="0"/>
                      <a:ext cx="557999" cy="557999"/>
                    </a:xfrm>
                    <a:prstGeom prst="rect">
                      <a:avLst/>
                    </a:prstGeom>
                    <a:noFill/>
                    <a:ln w="9525">
                      <a:noFill/>
                      <a:headEnd/>
                      <a:tailEnd/>
                    </a:ln>
                  </pic:spPr>
                </pic:pic>
              </a:graphicData>
            </a:graphic>
          </wp:inline>
        </w:drawing>
      </w:r>
      <w:r>
        <w:br/>
      </w:r>
      <w:r>
        <w:rPr>
          <w:b/>
          <w:bCs/>
        </w:rPr>
        <w:t xml:space="preserve">ÉCOLE SUPÉRIEURE POLYTECHNIQUE</w:t>
      </w:r>
      <w:r>
        <w:br/>
      </w:r>
    </w:p>
    <w:p>
      <w:r>
        <w:pict>
          <v:rect style="width:0;height:1.5pt" o:hralign="center" o:hrstd="t" o:hr="t"/>
        </w:pict>
      </w:r>
    </w:p>
    <w:p>
      <w:pPr>
        <w:pStyle w:val="FirstParagraph"/>
      </w:pPr>
      <w:r>
        <w:br/>
      </w:r>
      <w:r>
        <w:rPr>
          <w:b/>
          <w:bCs/>
          <w:i/>
          <w:iCs/>
          <w:u w:val="single"/>
        </w:rPr>
        <w:t xml:space="preserve">DÉPARTEMENT GÉNIE INFORMATIQUE</w:t>
      </w:r>
      <w:r>
        <w:br/>
      </w:r>
    </w:p>
    <w:p>
      <w:r>
        <w:pict>
          <v:rect style="width:0;height:1.5pt" o:hralign="center" o:hrstd="t" o:hr="t"/>
        </w:pict>
      </w:r>
    </w:p>
    <w:p>
      <w:pPr>
        <w:pStyle w:val="FirstParagraph"/>
      </w:pPr>
      <w:r>
        <w:br/>
      </w:r>
    </w:p>
    <w:p>
      <w:pPr>
        <w:pStyle w:val="BodyText"/>
      </w:pPr>
      <w:r>
        <w:rPr>
          <w:b/>
          <w:bCs/>
        </w:rPr>
        <w:t xml:space="preserve">MÉMOIRE DE FIN DE CYCLE</w:t>
      </w:r>
      <w:r>
        <w:br/>
      </w:r>
      <w:r>
        <w:rPr>
          <w:b/>
          <w:bCs/>
        </w:rPr>
        <w:t xml:space="preserve">Pour l’obtention du :</w:t>
      </w:r>
      <w:r>
        <w:br/>
      </w:r>
      <w:r>
        <w:rPr>
          <w:b/>
          <w:bCs/>
        </w:rPr>
        <w:t xml:space="preserve">DIPLÔME D’INGÉNIEUR DE CONCEPTION EN GÉNIE INFORMATIQUE</w:t>
      </w:r>
      <w:r>
        <w:br/>
      </w:r>
      <w:r>
        <w:rPr>
          <w:b/>
          <w:bCs/>
        </w:rPr>
        <w:t xml:space="preserve">OPTION : INFORMATIQUE</w:t>
      </w:r>
    </w:p>
    <w:p>
      <w:pPr>
        <w:pStyle w:val="BodyText"/>
      </w:pPr>
      <w:r>
        <w:rPr>
          <w:b/>
          <w:bCs/>
          <w:u w:val="single"/>
        </w:rPr>
        <w:t xml:space="preserve">SUJET :</w:t>
      </w:r>
      <w:r>
        <w:br/>
      </w:r>
      <w:r>
        <w:t xml:space="preserve"> </w:t>
      </w:r>
      <w:r>
        <w:rPr>
          <w:i/>
          <w:iCs/>
        </w:rPr>
        <w:t xml:space="preserve">Conception d’un système d’information bancaire intelligent : cas des modules</w:t>
      </w:r>
      <w:r>
        <w:rPr>
          <w:i/>
          <w:iCs/>
        </w:rPr>
        <w:t xml:space="preserve"> </w:t>
      </w:r>
      <w:r>
        <w:rPr>
          <w:i/>
          <w:iCs/>
        </w:rPr>
        <w:t xml:space="preserve">Relation Client et SGI (Société de Gestion et d’Intermédiation).</w:t>
      </w:r>
    </w:p>
    <w:p>
      <w:pPr>
        <w:pStyle w:val="BodyText"/>
      </w:pPr>
      <w:r>
        <w:rPr>
          <w:b/>
          <w:bCs/>
        </w:rPr>
        <w:t xml:space="preserve">Lieu de stage :</w:t>
      </w:r>
      <w:r>
        <w:t xml:space="preserve"> </w:t>
      </w:r>
      <w:r>
        <w:rPr>
          <w:b/>
          <w:bCs/>
        </w:rPr>
        <w:t xml:space="preserve">INNOV4AFRICA</w:t>
      </w:r>
      <w:r>
        <w:t xml:space="preserve"> </w:t>
      </w:r>
      <w:r>
        <w:rPr>
          <w:b/>
          <w:bCs/>
        </w:rPr>
        <w:t xml:space="preserve">Période de stage :</w:t>
      </w:r>
      <w:r>
        <w:t xml:space="preserve"> </w:t>
      </w:r>
      <w:r>
        <w:rPr>
          <w:b/>
          <w:bCs/>
        </w:rPr>
        <w:t xml:space="preserve">15/08/2025 – 30/06/2026</w:t>
      </w:r>
    </w:p>
    <w:p>
      <w:pPr>
        <w:pStyle w:val="BodyText"/>
      </w:pPr>
      <w:r>
        <w:drawing>
          <wp:inline>
            <wp:extent cx="737999" cy="737999"/>
            <wp:effectExtent b="0" l="0" r="0" t="0"/>
            <wp:docPr descr="image" title="" id="22" name="Picture"/>
            <a:graphic>
              <a:graphicData uri="http://schemas.openxmlformats.org/drawingml/2006/picture">
                <pic:pic>
                  <pic:nvPicPr>
                    <pic:cNvPr descr="images/page-de-garde/innov4africa_logo.jpg" id="23" name="Picture"/>
                    <pic:cNvPicPr>
                      <a:picLocks noChangeArrowheads="1" noChangeAspect="1"/>
                    </pic:cNvPicPr>
                  </pic:nvPicPr>
                  <pic:blipFill>
                    <a:blip r:embed="rId15"/>
                    <a:stretch>
                      <a:fillRect/>
                    </a:stretch>
                  </pic:blipFill>
                  <pic:spPr bwMode="auto">
                    <a:xfrm>
                      <a:off x="0" y="0"/>
                      <a:ext cx="737999" cy="737999"/>
                    </a:xfrm>
                    <a:prstGeom prst="rect">
                      <a:avLst/>
                    </a:prstGeom>
                    <a:noFill/>
                    <a:ln w="9525">
                      <a:noFill/>
                      <a:headEnd/>
                      <a:tailEnd/>
                    </a:ln>
                  </pic:spPr>
                </pic:pic>
              </a:graphicData>
            </a:graphic>
          </wp:inline>
        </w:drawing>
      </w:r>
    </w:p>
    <w:p>
      <w:pPr>
        <w:pStyle w:val="BodyText"/>
      </w:pPr>
      <w:r>
        <w:rPr>
          <w:b/>
          <w:bCs/>
        </w:rPr>
        <w:t xml:space="preserve">Présenté et soutenu par:</w:t>
      </w:r>
      <w:r>
        <w:t xml:space="preserve">Salif Biaye</w:t>
      </w:r>
      <w:r>
        <w:br/>
      </w:r>
      <w:r>
        <w:rPr>
          <w:b/>
          <w:bCs/>
        </w:rPr>
        <w:t xml:space="preserve">PROMOTION: 2026 – DATE DE SOUTENANCE: xx/07/2026</w:t>
      </w:r>
    </w:p>
    <w:p>
      <w:pPr>
        <w:pStyle w:val="BodyText"/>
      </w:pPr>
      <w:r>
        <w:rPr>
          <w:b/>
          <w:bCs/>
        </w:rPr>
        <w:t xml:space="preserve">MEMBRES DU JURY:</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PRÉSIDENT</w:t>
            </w:r>
          </w:p>
        </w:tc>
        <w:tc>
          <w:tcPr/>
          <w:p>
            <w:pPr>
              <w:pStyle w:val="Compact"/>
            </w:pPr>
          </w:p>
        </w:tc>
        <w:tc>
          <w:tcPr/>
          <w:p>
            <w:pPr>
              <w:pStyle w:val="Compact"/>
            </w:pPr>
          </w:p>
        </w:tc>
      </w:tr>
      <w:tr>
        <w:tc>
          <w:tcPr/>
          <w:p>
            <w:pPr>
              <w:pStyle w:val="Compact"/>
              <w:jc w:val="left"/>
            </w:pPr>
            <w:r>
              <w:t xml:space="preserve">RAPPORTEUR</w:t>
            </w:r>
          </w:p>
        </w:tc>
        <w:tc>
          <w:tcPr/>
          <w:p>
            <w:pPr>
              <w:pStyle w:val="Compact"/>
            </w:pPr>
          </w:p>
        </w:tc>
        <w:tc>
          <w:tcPr/>
          <w:p>
            <w:pPr>
              <w:pStyle w:val="Compact"/>
            </w:pPr>
          </w:p>
        </w:tc>
      </w:tr>
      <w:tr>
        <w:tc>
          <w:tcPr/>
          <w:p>
            <w:pPr>
              <w:pStyle w:val="Compact"/>
              <w:jc w:val="left"/>
            </w:pPr>
            <w:r>
              <w:t xml:space="preserve">EXAMINATEUR</w:t>
            </w:r>
          </w:p>
        </w:tc>
        <w:tc>
          <w:tcPr/>
          <w:p>
            <w:pPr>
              <w:pStyle w:val="Compact"/>
            </w:pPr>
          </w:p>
        </w:tc>
        <w:tc>
          <w:tcPr/>
          <w:p>
            <w:pPr>
              <w:pStyle w:val="Compact"/>
            </w:pPr>
          </w:p>
        </w:tc>
      </w:tr>
      <w:tr>
        <w:tc>
          <w:tcPr/>
          <w:p>
            <w:pPr>
              <w:pStyle w:val="Compact"/>
              <w:jc w:val="left"/>
            </w:pPr>
            <w:r>
              <w:t xml:space="preserve">ENCADRANT</w:t>
            </w:r>
          </w:p>
        </w:tc>
        <w:tc>
          <w:tcPr/>
          <w:p>
            <w:pPr>
              <w:pStyle w:val="Compact"/>
              <w:jc w:val="left"/>
            </w:pPr>
            <w:r>
              <w:t xml:space="preserve">Pr Ibrahima Fall</w:t>
            </w:r>
          </w:p>
        </w:tc>
        <w:tc>
          <w:tcPr/>
          <w:p>
            <w:pPr>
              <w:pStyle w:val="Compact"/>
              <w:jc w:val="left"/>
            </w:pPr>
            <w:r>
              <w:t xml:space="preserve">Maître de conférences</w:t>
            </w:r>
          </w:p>
        </w:tc>
      </w:tr>
      <w:tr>
        <w:tc>
          <w:tcPr/>
          <w:p>
            <w:pPr>
              <w:pStyle w:val="Compact"/>
              <w:jc w:val="left"/>
            </w:pPr>
            <w:r>
              <w:t xml:space="preserve">MAÎTRE DE STAGE</w:t>
            </w:r>
          </w:p>
        </w:tc>
        <w:tc>
          <w:tcPr/>
          <w:p>
            <w:pPr>
              <w:pStyle w:val="Compact"/>
              <w:jc w:val="left"/>
            </w:pPr>
            <w:r>
              <w:t xml:space="preserve">Khassoum WONE</w:t>
            </w:r>
          </w:p>
        </w:tc>
        <w:tc>
          <w:tcPr/>
          <w:p>
            <w:pPr>
              <w:pStyle w:val="Compact"/>
              <w:jc w:val="left"/>
            </w:pPr>
            <w:r>
              <w:t xml:space="preserve">Ingénieur Informatique</w:t>
            </w:r>
          </w:p>
        </w:tc>
      </w:tr>
      <w:tr>
        <w:tc>
          <w:tcPr/>
          <w:p>
            <w:pPr>
              <w:pStyle w:val="Compact"/>
              <w:jc w:val="left"/>
            </w:pPr>
            <w:r>
              <w:t xml:space="preserve">DIRECTEUR DE MÉMOIRE</w:t>
            </w:r>
          </w:p>
        </w:tc>
        <w:tc>
          <w:tcPr/>
          <w:p>
            <w:pPr>
              <w:pStyle w:val="Compact"/>
              <w:jc w:val="left"/>
            </w:pPr>
            <w:r>
              <w:t xml:space="preserve">Pr Ibrahima Fall</w:t>
            </w:r>
          </w:p>
        </w:tc>
        <w:tc>
          <w:tcPr/>
          <w:p>
            <w:pPr>
              <w:pStyle w:val="Compact"/>
              <w:jc w:val="left"/>
            </w:pPr>
            <w:r>
              <w:t xml:space="preserve">Maître de conférences</w:t>
            </w:r>
          </w:p>
        </w:tc>
      </w:tr>
    </w:tbl>
    <w:p>
      <w:pPr>
        <w:pStyle w:val="BodyText"/>
      </w:pPr>
      <w:r>
        <w:t xml:space="preserve">Année universitaire : 2025 - 2026</w:t>
      </w:r>
      <w:r>
        <w:br/>
      </w:r>
    </w:p>
    <w:bookmarkStart w:id="24" w:name="dédicaces"/>
    <w:p>
      <w:pPr>
        <w:pStyle w:val="Heading1"/>
      </w:pPr>
      <w:r>
        <w:t xml:space="preserve">Dédicaces</w:t>
      </w:r>
    </w:p>
    <w:p>
      <w:pPr>
        <w:pStyle w:val="FirstParagraph"/>
      </w:pPr>
      <w:r>
        <w:rPr>
          <w:i/>
          <w:iCs/>
        </w:rPr>
        <w:t xml:space="preserve">Au nom d’ALLAH le clément et le miséricordieux</w:t>
      </w:r>
      <w:r>
        <w:br/>
      </w:r>
      <w:r>
        <w:rPr>
          <w:i/>
          <w:iCs/>
        </w:rPr>
        <w:t xml:space="preserve">Je tiens à dédier ce modeste travail</w:t>
      </w:r>
    </w:p>
    <w:p>
      <w:pPr>
        <w:numPr>
          <w:ilvl w:val="0"/>
          <w:numId w:val="1001"/>
        </w:numPr>
      </w:pPr>
      <w:r>
        <w:t xml:space="preserve">À mes très chers parents, à ma mère</w:t>
      </w:r>
      <w:r>
        <w:t xml:space="preserve"> </w:t>
      </w:r>
      <w:r>
        <w:rPr>
          <w:b/>
          <w:bCs/>
        </w:rPr>
        <w:t xml:space="preserve">Fatimatou Bineta Dia</w:t>
      </w:r>
      <w:r>
        <w:t xml:space="preserve"> </w:t>
      </w:r>
      <w:r>
        <w:t xml:space="preserve">pour son amour inconditionnel, son soutien indéfectible et ses prières</w:t>
      </w:r>
      <w:r>
        <w:t xml:space="preserve"> </w:t>
      </w:r>
      <w:r>
        <w:t xml:space="preserve">tout au long de mon parcours, et à la mémoire de mon père</w:t>
      </w:r>
      <w:r>
        <w:t xml:space="preserve"> </w:t>
      </w:r>
      <w:r>
        <w:rPr>
          <w:b/>
          <w:bCs/>
        </w:rPr>
        <w:t xml:space="preserve">Mouhamadou Lamine Biaye</w:t>
      </w:r>
      <w:r>
        <w:t xml:space="preserve">, que ALLAH lui accorde Sa miséricorde</w:t>
      </w:r>
      <w:r>
        <w:t xml:space="preserve"> </w:t>
      </w:r>
      <w:r>
        <w:t xml:space="preserve">et l’accueille en Son paradis.</w:t>
      </w:r>
    </w:p>
    <w:p>
      <w:pPr>
        <w:numPr>
          <w:ilvl w:val="0"/>
          <w:numId w:val="1001"/>
        </w:numPr>
      </w:pPr>
      <w:r>
        <w:t xml:space="preserve">À mon frère</w:t>
      </w:r>
      <w:r>
        <w:t xml:space="preserve"> </w:t>
      </w:r>
      <w:r>
        <w:rPr>
          <w:b/>
          <w:bCs/>
        </w:rPr>
        <w:t xml:space="preserve">Mouhamad Hamza Biaye</w:t>
      </w:r>
      <w:r>
        <w:t xml:space="preserve"> </w:t>
      </w:r>
      <w:r>
        <w:t xml:space="preserve">et à ma sœur</w:t>
      </w:r>
      <w:r>
        <w:t xml:space="preserve"> </w:t>
      </w:r>
      <w:r>
        <w:rPr>
          <w:b/>
          <w:bCs/>
        </w:rPr>
        <w:t xml:space="preserve">Adja Mariama Biaye</w:t>
      </w:r>
      <w:r>
        <w:t xml:space="preserve">, pour leur affection et leurs encouragements.</w:t>
      </w:r>
    </w:p>
    <w:p>
      <w:pPr>
        <w:numPr>
          <w:ilvl w:val="0"/>
          <w:numId w:val="1001"/>
        </w:numPr>
      </w:pPr>
      <w:r>
        <w:t xml:space="preserve">À toute ma famille, du côté maternel comme paternel, pour leur soutien constant.</w:t>
      </w:r>
    </w:p>
    <w:p>
      <w:pPr>
        <w:numPr>
          <w:ilvl w:val="0"/>
          <w:numId w:val="1001"/>
        </w:numPr>
      </w:pPr>
      <w:r>
        <w:t xml:space="preserve">À mes cousins et cousines pour leur présence et leur bienveillance.</w:t>
      </w:r>
    </w:p>
    <w:p>
      <w:pPr>
        <w:numPr>
          <w:ilvl w:val="0"/>
          <w:numId w:val="1001"/>
        </w:numPr>
      </w:pPr>
      <w:r>
        <w:t xml:space="preserve">À mes camarades de promotion de l’ESP pour la solidarité et les efforts partagés.</w:t>
      </w:r>
    </w:p>
    <w:p>
      <w:pPr>
        <w:numPr>
          <w:ilvl w:val="0"/>
          <w:numId w:val="1001"/>
        </w:numPr>
      </w:pPr>
      <w:r>
        <w:t xml:space="preserve">À mes amis pour leur amitié sincère et précieuse.</w:t>
      </w:r>
    </w:p>
    <w:p>
      <w:pPr>
        <w:numPr>
          <w:ilvl w:val="0"/>
          <w:numId w:val="1001"/>
        </w:numPr>
      </w:pPr>
      <w:r>
        <w:t xml:space="preserve">À tous ceux qui ont contribué, de près ou de loin, à ce travail.</w:t>
      </w:r>
    </w:p>
    <w:bookmarkEnd w:id="24"/>
    <w:bookmarkStart w:id="25" w:name="remerciements"/>
    <w:p>
      <w:pPr>
        <w:pStyle w:val="Heading1"/>
      </w:pPr>
      <w:r>
        <w:t xml:space="preserve">Remerciements</w:t>
      </w:r>
    </w:p>
    <w:p>
      <w:pPr>
        <w:pStyle w:val="FirstParagraph"/>
      </w:pPr>
      <w:r>
        <w:t xml:space="preserve">Mes remerciements vont d’abord à</w:t>
      </w:r>
      <w:r>
        <w:t xml:space="preserve"> </w:t>
      </w:r>
      <w:r>
        <w:rPr>
          <w:b/>
          <w:bCs/>
        </w:rPr>
        <w:t xml:space="preserve">Pr Ibrahima Fall</w:t>
      </w:r>
      <w:r>
        <w:t xml:space="preserve">, mon encadrant et</w:t>
      </w:r>
      <w:r>
        <w:t xml:space="preserve"> </w:t>
      </w:r>
      <w:r>
        <w:t xml:space="preserve">directeur de mémoire, pour sa disponibilité, ses précieux conseils et son</w:t>
      </w:r>
      <w:r>
        <w:t xml:space="preserve"> </w:t>
      </w:r>
      <w:r>
        <w:t xml:space="preserve">accompagnement tout au long de ce travail.</w:t>
      </w:r>
    </w:p>
    <w:p>
      <w:pPr>
        <w:pStyle w:val="BodyText"/>
      </w:pPr>
      <w:r>
        <w:t xml:space="preserve">Je remercie également</w:t>
      </w:r>
      <w:r>
        <w:t xml:space="preserve"> </w:t>
      </w:r>
      <w:r>
        <w:rPr>
          <w:b/>
          <w:bCs/>
        </w:rPr>
        <w:t xml:space="preserve">Khassoum WONE</w:t>
      </w:r>
      <w:r>
        <w:t xml:space="preserve">, mon maître de stage chez</w:t>
      </w:r>
      <w:r>
        <w:t xml:space="preserve"> </w:t>
      </w:r>
      <w:r>
        <w:t xml:space="preserve">INNOV4AFRICA, pour l’accueil chaleureux et l’encadrement professionnel.</w:t>
      </w:r>
    </w:p>
    <w:p>
      <w:pPr>
        <w:pStyle w:val="BodyText"/>
      </w:pPr>
      <w:r>
        <w:t xml:space="preserve">Je remercie enfin l’ensemble du corps enseignant du Département Génie</w:t>
      </w:r>
      <w:r>
        <w:t xml:space="preserve"> </w:t>
      </w:r>
      <w:r>
        <w:t xml:space="preserve">Informatique de l’ESP pour la qualité de la formation dispensée.</w:t>
      </w:r>
    </w:p>
    <w:bookmarkEnd w:id="25"/>
    <w:bookmarkStart w:id="26" w:name="liste-des-sigles-et-abréviations"/>
    <w:p>
      <w:pPr>
        <w:pStyle w:val="Heading1"/>
      </w:pPr>
      <w:r>
        <w:t xml:space="preserve">Liste des sigles et abréviations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ADIE</w:t>
            </w:r>
          </w:p>
        </w:tc>
        <w:tc>
          <w:tcPr/>
          <w:p>
            <w:pPr>
              <w:pStyle w:val="Compact"/>
              <w:jc w:val="left"/>
            </w:pPr>
            <w:r>
              <w:t xml:space="preserve">Agence de l’Informatique de l’État</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BRVM</w:t>
            </w:r>
          </w:p>
        </w:tc>
        <w:tc>
          <w:tcPr/>
          <w:p>
            <w:pPr>
              <w:pStyle w:val="Compact"/>
              <w:jc w:val="left"/>
            </w:pPr>
            <w:r>
              <w:t xml:space="preserve">Bourse Régionale des Valeurs Mobilières</w:t>
            </w:r>
          </w:p>
        </w:tc>
      </w:tr>
      <w:tr>
        <w:tc>
          <w:tcPr/>
          <w:p>
            <w:pPr>
              <w:pStyle w:val="Compact"/>
              <w:jc w:val="left"/>
            </w:pPr>
            <w:r>
              <w:rPr>
                <w:b/>
                <w:bCs/>
              </w:rPr>
              <w:t xml:space="preserve">DG</w:t>
            </w:r>
          </w:p>
        </w:tc>
        <w:tc>
          <w:tcPr/>
          <w:p>
            <w:pPr>
              <w:pStyle w:val="Compact"/>
              <w:jc w:val="left"/>
            </w:pPr>
            <w:r>
              <w:t xml:space="preserve">Directeur Général</w:t>
            </w:r>
          </w:p>
        </w:tc>
      </w:tr>
      <w:tr>
        <w:tc>
          <w:tcPr/>
          <w:p>
            <w:pPr>
              <w:pStyle w:val="Compact"/>
              <w:jc w:val="left"/>
            </w:pPr>
            <w:r>
              <w:rPr>
                <w:b/>
                <w:bCs/>
              </w:rPr>
              <w:t xml:space="preserve">DIC</w:t>
            </w:r>
          </w:p>
        </w:tc>
        <w:tc>
          <w:tcPr/>
          <w:p>
            <w:pPr>
              <w:pStyle w:val="Compact"/>
              <w:jc w:val="left"/>
            </w:pPr>
            <w:r>
              <w:t xml:space="preserve">Diplôme d’Ingénieur de Conception</w:t>
            </w:r>
          </w:p>
        </w:tc>
      </w:tr>
      <w:tr>
        <w:tc>
          <w:tcPr/>
          <w:p>
            <w:pPr>
              <w:pStyle w:val="Compact"/>
              <w:jc w:val="left"/>
            </w:pPr>
            <w:r>
              <w:rPr>
                <w:b/>
                <w:bCs/>
              </w:rPr>
              <w:t xml:space="preserve">ENSUT</w:t>
            </w:r>
          </w:p>
        </w:tc>
        <w:tc>
          <w:tcPr/>
          <w:p>
            <w:pPr>
              <w:pStyle w:val="Compact"/>
              <w:jc w:val="left"/>
            </w:pPr>
            <w:r>
              <w:t xml:space="preserve">École Nationale Supérieure Universitaire de Technologie</w:t>
            </w:r>
          </w:p>
        </w:tc>
      </w:tr>
      <w:tr>
        <w:tc>
          <w:tcPr/>
          <w:p>
            <w:pPr>
              <w:pStyle w:val="Compact"/>
              <w:jc w:val="left"/>
            </w:pPr>
            <w:r>
              <w:rPr>
                <w:b/>
                <w:bCs/>
              </w:rPr>
              <w:t xml:space="preserve">ESP</w:t>
            </w:r>
          </w:p>
        </w:tc>
        <w:tc>
          <w:tcPr/>
          <w:p>
            <w:pPr>
              <w:pStyle w:val="Compact"/>
              <w:jc w:val="left"/>
            </w:pPr>
            <w:r>
              <w:t xml:space="preserve">École Supérieure Polytechnique</w:t>
            </w:r>
          </w:p>
        </w:tc>
      </w:tr>
      <w:tr>
        <w:tc>
          <w:tcPr/>
          <w:p>
            <w:pPr>
              <w:pStyle w:val="Compact"/>
              <w:jc w:val="left"/>
            </w:pPr>
            <w:r>
              <w:rPr>
                <w:b/>
                <w:bCs/>
              </w:rPr>
              <w:t xml:space="preserve">GI</w:t>
            </w:r>
          </w:p>
        </w:tc>
        <w:tc>
          <w:tcPr/>
          <w:p>
            <w:pPr>
              <w:pStyle w:val="Compact"/>
              <w:jc w:val="left"/>
            </w:pPr>
            <w:r>
              <w:t xml:space="preserve">Génie Informatique</w:t>
            </w:r>
          </w:p>
        </w:tc>
      </w:tr>
      <w:tr>
        <w:tc>
          <w:tcPr/>
          <w:p>
            <w:pPr>
              <w:pStyle w:val="Compact"/>
              <w:jc w:val="left"/>
            </w:pPr>
            <w:r>
              <w:rPr>
                <w:b/>
                <w:bCs/>
              </w:rPr>
              <w:t xml:space="preserve">IA</w:t>
            </w:r>
          </w:p>
        </w:tc>
        <w:tc>
          <w:tcPr/>
          <w:p>
            <w:pPr>
              <w:pStyle w:val="Compact"/>
              <w:jc w:val="left"/>
            </w:pPr>
            <w:r>
              <w:t xml:space="preserve">Intelligence Artificielle</w:t>
            </w:r>
          </w:p>
        </w:tc>
      </w:tr>
      <w:tr>
        <w:tc>
          <w:tcPr/>
          <w:p>
            <w:pPr>
              <w:pStyle w:val="Compact"/>
              <w:jc w:val="left"/>
            </w:pPr>
            <w:r>
              <w:rPr>
                <w:b/>
                <w:bCs/>
              </w:rPr>
              <w:t xml:space="preserve">I-SIB</w:t>
            </w:r>
          </w:p>
        </w:tc>
        <w:tc>
          <w:tcPr/>
          <w:p>
            <w:pPr>
              <w:pStyle w:val="Compact"/>
              <w:jc w:val="left"/>
            </w:pPr>
            <w:r>
              <w:t xml:space="preserve">Système d’Information Bancaire Intelligent</w:t>
            </w:r>
          </w:p>
        </w:tc>
      </w:tr>
      <w:tr>
        <w:tc>
          <w:tcPr/>
          <w:p>
            <w:pPr>
              <w:pStyle w:val="Compact"/>
              <w:jc w:val="left"/>
            </w:pPr>
            <w:r>
              <w:rPr>
                <w:b/>
                <w:bCs/>
              </w:rPr>
              <w:t xml:space="preserve">IP</w:t>
            </w:r>
          </w:p>
        </w:tc>
        <w:tc>
          <w:tcPr/>
          <w:p>
            <w:pPr>
              <w:pStyle w:val="Compact"/>
              <w:jc w:val="left"/>
            </w:pPr>
            <w:r>
              <w:t xml:space="preserve">Institut Polytechnique</w:t>
            </w:r>
          </w:p>
        </w:tc>
      </w:tr>
      <w:tr>
        <w:tc>
          <w:tcPr/>
          <w:p>
            <w:pPr>
              <w:pStyle w:val="Compact"/>
              <w:jc w:val="left"/>
            </w:pPr>
            <w:r>
              <w:rPr>
                <w:b/>
                <w:bCs/>
              </w:rPr>
              <w:t xml:space="preserve">IUT</w:t>
            </w:r>
          </w:p>
        </w:tc>
        <w:tc>
          <w:tcPr/>
          <w:p>
            <w:pPr>
              <w:pStyle w:val="Compact"/>
              <w:jc w:val="left"/>
            </w:pPr>
            <w:r>
              <w:t xml:space="preserve">Institut Universitaire de Technologie</w:t>
            </w:r>
          </w:p>
        </w:tc>
      </w:tr>
      <w:tr>
        <w:tc>
          <w:tcPr/>
          <w:p>
            <w:pPr>
              <w:pStyle w:val="Compact"/>
              <w:jc w:val="left"/>
            </w:pPr>
            <w:r>
              <w:rPr>
                <w:b/>
                <w:bCs/>
              </w:rPr>
              <w:t xml:space="preserve">KYC</w:t>
            </w:r>
          </w:p>
        </w:tc>
        <w:tc>
          <w:tcPr/>
          <w:p>
            <w:pPr>
              <w:pStyle w:val="Compact"/>
              <w:jc w:val="left"/>
            </w:pPr>
            <w:r>
              <w:t xml:space="preserve">Know Your Customer</w:t>
            </w:r>
          </w:p>
        </w:tc>
      </w:tr>
      <w:tr>
        <w:tc>
          <w:tcPr/>
          <w:p>
            <w:pPr>
              <w:pStyle w:val="Compact"/>
              <w:jc w:val="left"/>
            </w:pPr>
            <w:r>
              <w:rPr>
                <w:b/>
                <w:bCs/>
              </w:rPr>
              <w:t xml:space="preserve">SGI</w:t>
            </w:r>
          </w:p>
        </w:tc>
        <w:tc>
          <w:tcPr/>
          <w:p>
            <w:pPr>
              <w:pStyle w:val="Compact"/>
              <w:jc w:val="left"/>
            </w:pPr>
            <w:r>
              <w:t xml:space="preserve">Société de Gestion et d’Intermédiation</w:t>
            </w:r>
          </w:p>
        </w:tc>
      </w:tr>
      <w:tr>
        <w:tc>
          <w:tcPr/>
          <w:p>
            <w:pPr>
              <w:pStyle w:val="Compact"/>
              <w:jc w:val="left"/>
            </w:pPr>
            <w:r>
              <w:rPr>
                <w:b/>
                <w:bCs/>
              </w:rPr>
              <w:t xml:space="preserve">SIB</w:t>
            </w:r>
          </w:p>
        </w:tc>
        <w:tc>
          <w:tcPr/>
          <w:p>
            <w:pPr>
              <w:pStyle w:val="Compact"/>
              <w:jc w:val="left"/>
            </w:pPr>
            <w:r>
              <w:t xml:space="preserve">Système d’Information Bancaire</w:t>
            </w:r>
          </w:p>
        </w:tc>
      </w:tr>
      <w:tr>
        <w:tc>
          <w:tcPr/>
          <w:p>
            <w:pPr>
              <w:pStyle w:val="Compact"/>
              <w:jc w:val="left"/>
            </w:pPr>
            <w:r>
              <w:rPr>
                <w:b/>
                <w:bCs/>
              </w:rPr>
              <w:t xml:space="preserve">TIC</w:t>
            </w:r>
          </w:p>
        </w:tc>
        <w:tc>
          <w:tcPr/>
          <w:p>
            <w:pPr>
              <w:pStyle w:val="Compact"/>
              <w:jc w:val="left"/>
            </w:pPr>
            <w:r>
              <w:t xml:space="preserve">Technologies de l’Information et de la Communication</w:t>
            </w:r>
          </w:p>
        </w:tc>
      </w:tr>
      <w:tr>
        <w:tc>
          <w:tcPr/>
          <w:p>
            <w:pPr>
              <w:pStyle w:val="Compact"/>
              <w:jc w:val="left"/>
            </w:pPr>
            <w:r>
              <w:rPr>
                <w:b/>
                <w:bCs/>
              </w:rPr>
              <w:t xml:space="preserve">UCAD</w:t>
            </w:r>
          </w:p>
        </w:tc>
        <w:tc>
          <w:tcPr/>
          <w:p>
            <w:pPr>
              <w:pStyle w:val="Compact"/>
              <w:jc w:val="left"/>
            </w:pPr>
            <w:r>
              <w:t xml:space="preserve">Université Cheikh Anta Diop</w:t>
            </w:r>
          </w:p>
        </w:tc>
      </w:tr>
      <w:tr>
        <w:tc>
          <w:tcPr/>
          <w:p>
            <w:pPr>
              <w:pStyle w:val="Compact"/>
              <w:jc w:val="left"/>
            </w:pPr>
            <w:r>
              <w:rPr>
                <w:b/>
                <w:bCs/>
              </w:rPr>
              <w:t xml:space="preserve">UEMOA</w:t>
            </w:r>
          </w:p>
        </w:tc>
        <w:tc>
          <w:tcPr/>
          <w:p>
            <w:pPr>
              <w:pStyle w:val="Compact"/>
              <w:jc w:val="left"/>
            </w:pPr>
            <w:r>
              <w:t xml:space="preserve">Union Économique et Monétaire Ouest-Africaine</w:t>
            </w:r>
          </w:p>
        </w:tc>
      </w:tr>
      <w:tr>
        <w:tc>
          <w:tcPr/>
          <w:p>
            <w:pPr>
              <w:pStyle w:val="Compact"/>
              <w:jc w:val="left"/>
            </w:pPr>
            <w:r>
              <w:rPr>
                <w:b/>
                <w:bCs/>
              </w:rPr>
              <w:t xml:space="preserve">UML</w:t>
            </w:r>
          </w:p>
        </w:tc>
        <w:tc>
          <w:tcPr/>
          <w:p>
            <w:pPr>
              <w:pStyle w:val="Compact"/>
              <w:jc w:val="left"/>
            </w:pPr>
            <w:r>
              <w:t xml:space="preserve">Unified Modeling Language</w:t>
            </w:r>
          </w:p>
        </w:tc>
      </w:tr>
      <w:tr>
        <w:tc>
          <w:tcPr/>
          <w:p>
            <w:pPr>
              <w:pStyle w:val="Compact"/>
              <w:jc w:val="left"/>
            </w:pPr>
            <w:r>
              <w:rPr>
                <w:b/>
                <w:bCs/>
              </w:rPr>
              <w:t xml:space="preserve">VPS</w:t>
            </w:r>
          </w:p>
        </w:tc>
        <w:tc>
          <w:tcPr/>
          <w:p>
            <w:pPr>
              <w:pStyle w:val="Compact"/>
              <w:jc w:val="left"/>
            </w:pPr>
            <w:r>
              <w:t xml:space="preserve">Virtual Private Server</w:t>
            </w:r>
          </w:p>
        </w:tc>
      </w:tr>
    </w:tbl>
    <w:bookmarkEnd w:id="26"/>
    <w:bookmarkStart w:id="27" w:name="avant-propos"/>
    <w:p>
      <w:pPr>
        <w:pStyle w:val="Heading1"/>
      </w:pPr>
      <w:r>
        <w:t xml:space="preserve">Avant-propos</w:t>
      </w:r>
    </w:p>
    <w:p>
      <w:pPr>
        <w:pStyle w:val="FirstParagraph"/>
      </w:pPr>
      <w:r>
        <w:t xml:space="preserve">L’École Supérieure Polytechnique de Dakar (</w:t>
      </w:r>
      <w:r>
        <w:rPr>
          <w:b/>
          <w:bCs/>
        </w:rPr>
        <w:t xml:space="preserve">ESP</w:t>
      </w:r>
      <w:r>
        <w:t xml:space="preserve">), rattachée à</w:t>
      </w:r>
      <w:r>
        <w:t xml:space="preserve"> </w:t>
      </w:r>
      <w:r>
        <w:t xml:space="preserve">l’Université Cheikh Anta Diop (</w:t>
      </w:r>
      <w:r>
        <w:rPr>
          <w:b/>
          <w:bCs/>
        </w:rPr>
        <w:t xml:space="preserve">UCAD</w:t>
      </w:r>
      <w:r>
        <w:t xml:space="preserve">), assure des formations</w:t>
      </w:r>
      <w:r>
        <w:t xml:space="preserve"> </w:t>
      </w:r>
      <w:r>
        <w:t xml:space="preserve">professionnelles et d’ingénieurs dans plusieurs domaines scientifiques,</w:t>
      </w:r>
      <w:r>
        <w:t xml:space="preserve"> </w:t>
      </w:r>
      <w:r>
        <w:t xml:space="preserve">techniques et de gestion</w:t>
      </w:r>
      <w:r>
        <w:t xml:space="preserve"> </w:t>
      </w:r>
      <w:r>
        <w:t xml:space="preserve">. Le présent mémoire s’inscrit dans</w:t>
      </w:r>
      <w:r>
        <w:t xml:space="preserve"> </w:t>
      </w:r>
      <w:r>
        <w:t xml:space="preserve">la formation suivie au Département Génie Informatique, qui associe les acquis</w:t>
      </w:r>
      <w:r>
        <w:t xml:space="preserve"> </w:t>
      </w:r>
      <w:r>
        <w:t xml:space="preserve">académiques à une expérience pratique en entreprise.</w:t>
      </w:r>
    </w:p>
    <w:p>
      <w:pPr>
        <w:pStyle w:val="BodyText"/>
      </w:pPr>
      <w:r>
        <w:t xml:space="preserve">Dans ce cadre, le projet de fin d’études permet de conduire une étude appliquée,</w:t>
      </w:r>
      <w:r>
        <w:t xml:space="preserve"> </w:t>
      </w:r>
      <w:r>
        <w:t xml:space="preserve">depuis l’analyse des besoins jusqu’à la réalisation et à l’évaluation d’une</w:t>
      </w:r>
      <w:r>
        <w:t xml:space="preserve"> </w:t>
      </w:r>
      <w:r>
        <w:t xml:space="preserve">solution informatique dans son contexte professionnel.</w:t>
      </w:r>
    </w:p>
    <w:p>
      <w:pPr>
        <w:pStyle w:val="BodyText"/>
      </w:pPr>
      <w:r>
        <w:t xml:space="preserve">Ainsi, nous avons effectué un stage au sein de la structure</w:t>
      </w:r>
      <w:r>
        <w:t xml:space="preserve"> </w:t>
      </w:r>
      <w:r>
        <w:rPr>
          <w:b/>
          <w:bCs/>
        </w:rPr>
        <w:t xml:space="preserve">INNOV4AFRICA</w:t>
      </w:r>
      <w:r>
        <w:t xml:space="preserve"> </w:t>
      </w:r>
      <w:r>
        <w:t xml:space="preserve">et travaillé sur le sujet suivant :</w:t>
      </w:r>
      <w:r>
        <w:t xml:space="preserve"> </w:t>
      </w:r>
      <w:r>
        <w:rPr>
          <w:i/>
          <w:iCs/>
        </w:rPr>
        <w:t xml:space="preserve">Conception d’un système d’information bancaire intelligent : cas des</w:t>
      </w:r>
      <w:r>
        <w:rPr>
          <w:i/>
          <w:iCs/>
        </w:rPr>
        <w:t xml:space="preserve"> </w:t>
      </w:r>
      <w:r>
        <w:rPr>
          <w:i/>
          <w:iCs/>
        </w:rPr>
        <w:t xml:space="preserve">modules Relation Client et SGI (Société de Gestion et d’Intermédiation)</w:t>
      </w:r>
      <w:r>
        <w:t xml:space="preserve">.</w:t>
      </w:r>
    </w:p>
    <w:bookmarkEnd w:id="27"/>
    <w:bookmarkStart w:id="28" w:name="résumé"/>
    <w:p>
      <w:pPr>
        <w:pStyle w:val="Heading1"/>
      </w:pPr>
      <w:r>
        <w:t xml:space="preserve">Résumé</w:t>
      </w:r>
    </w:p>
    <w:p>
      <w:pPr>
        <w:pStyle w:val="FirstParagraph"/>
      </w:pPr>
      <w:r>
        <w:t xml:space="preserve">Dans un contexte où la digitalisation des services financiers s’impose comme un levier</w:t>
      </w:r>
      <w:r>
        <w:t xml:space="preserve"> </w:t>
      </w:r>
      <w:r>
        <w:t xml:space="preserve">stratégique pour les institutions bancaires, la capacité à centraliser la connaissance</w:t>
      </w:r>
      <w:r>
        <w:t xml:space="preserve"> </w:t>
      </w:r>
      <w:r>
        <w:t xml:space="preserve">client et à intégrer les services d’investissement au sein d’une plateforme unique est</w:t>
      </w:r>
      <w:r>
        <w:t xml:space="preserve"> </w:t>
      </w:r>
      <w:r>
        <w:t xml:space="preserve">devenue un enjeu déterminant. Ce mémoire présente la conception et le développement</w:t>
      </w:r>
      <w:r>
        <w:t xml:space="preserve"> </w:t>
      </w:r>
      <w:r>
        <w:t xml:space="preserve">des modules</w:t>
      </w:r>
      <w:r>
        <w:t xml:space="preserve"> </w:t>
      </w:r>
      <w:r>
        <w:rPr>
          <w:b/>
          <w:bCs/>
        </w:rPr>
        <w:t xml:space="preserve">Relation Client</w:t>
      </w:r>
      <w:r>
        <w:t xml:space="preserve"> </w:t>
      </w:r>
      <w:r>
        <w:t xml:space="preserve">et</w:t>
      </w:r>
      <w:r>
        <w:t xml:space="preserve"> </w:t>
      </w:r>
      <w:r>
        <w:rPr>
          <w:b/>
          <w:bCs/>
        </w:rPr>
        <w:t xml:space="preserve">SGI</w:t>
      </w:r>
      <w:r>
        <w:t xml:space="preserve"> </w:t>
      </w:r>
      <w:r>
        <w:t xml:space="preserve">(Société de Gestion et</w:t>
      </w:r>
      <w:r>
        <w:t xml:space="preserve"> </w:t>
      </w:r>
      <w:r>
        <w:t xml:space="preserve">d’Intermédiation) du projet</w:t>
      </w:r>
      <w:r>
        <w:t xml:space="preserve"> </w:t>
      </w:r>
      <w:r>
        <w:rPr>
          <w:b/>
          <w:bCs/>
        </w:rPr>
        <w:t xml:space="preserve">I-SIB</w:t>
      </w:r>
      <w:r>
        <w:t xml:space="preserve">, un système d’information bancaire</w:t>
      </w:r>
      <w:r>
        <w:t xml:space="preserve"> </w:t>
      </w:r>
      <w:r>
        <w:t xml:space="preserve">intelligent développé au sein d’INNOV4AFRICA, visant à unifier la gestion client,</w:t>
      </w:r>
      <w:r>
        <w:t xml:space="preserve"> </w:t>
      </w:r>
      <w:r>
        <w:t xml:space="preserve">le suivi des portefeuilles et l’accès aux marchés financiers depuis une interface</w:t>
      </w:r>
      <w:r>
        <w:t xml:space="preserve"> </w:t>
      </w:r>
      <w:r>
        <w:t xml:space="preserve">commune.</w:t>
      </w:r>
    </w:p>
    <w:p>
      <w:pPr>
        <w:pStyle w:val="BodyText"/>
      </w:pPr>
      <w:r>
        <w:t xml:space="preserve">Face aux limites des systèmes fragmentés, où la relation client et les opérations</w:t>
      </w:r>
      <w:r>
        <w:t xml:space="preserve"> </w:t>
      </w:r>
      <w:r>
        <w:t xml:space="preserve">d’investissement sont gérés dans des outils séparés et non communicants, le projet</w:t>
      </w:r>
      <w:r>
        <w:t xml:space="preserve"> </w:t>
      </w:r>
      <w:r>
        <w:t xml:space="preserve">adopte une démarche itérative et incrémentale, s’appuyant sur une architecture</w:t>
      </w:r>
      <w:r>
        <w:t xml:space="preserve"> </w:t>
      </w:r>
      <w:r>
        <w:t xml:space="preserve">microservices et une logique</w:t>
      </w:r>
      <w:r>
        <w:t xml:space="preserve"> </w:t>
      </w:r>
      <w:r>
        <w:rPr>
          <w:i/>
          <w:iCs/>
        </w:rPr>
        <w:t xml:space="preserve">full API</w:t>
      </w:r>
      <w:r>
        <w:t xml:space="preserve">. Les technologies utilisées incluent</w:t>
      </w:r>
      <w:r>
        <w:t xml:space="preserve"> </w:t>
      </w:r>
      <w:r>
        <w:t xml:space="preserve">Spring Boot, Next.js, PostgreSQL, Redis, RabbitMQ et Keycloak pour la sécurité.</w:t>
      </w:r>
      <w:r>
        <w:t xml:space="preserve"> </w:t>
      </w:r>
      <w:r>
        <w:t xml:space="preserve">L’architecture conçue intègre des modules clés : vue 360 client, gestion KYC,</w:t>
      </w:r>
      <w:r>
        <w:t xml:space="preserve"> </w:t>
      </w:r>
      <w:r>
        <w:t xml:space="preserve">pipeline de conversion des prospects, suivi des portefeuilles-titres, cotations</w:t>
      </w:r>
      <w:r>
        <w:t xml:space="preserve"> </w:t>
      </w:r>
      <w:r>
        <w:t xml:space="preserve">BRVM, passage d’ordres, scoring des prospects et détection du churn par</w:t>
      </w:r>
      <w:r>
        <w:t xml:space="preserve"> </w:t>
      </w:r>
      <w:r>
        <w:t xml:space="preserve">intelligence artificielle.</w:t>
      </w:r>
    </w:p>
    <w:p>
      <w:pPr>
        <w:pStyle w:val="BodyText"/>
      </w:pPr>
      <w:r>
        <w:t xml:space="preserve">La plateforme réalisée met à disposition des interfaces de suivi client, de</w:t>
      </w:r>
      <w:r>
        <w:t xml:space="preserve"> </w:t>
      </w:r>
      <w:r>
        <w:t xml:space="preserve">gestion des prospects et d’opérations SGI, complétées par des fonctions d’aide</w:t>
      </w:r>
      <w:r>
        <w:t xml:space="preserve"> </w:t>
      </w:r>
      <w:r>
        <w:t xml:space="preserve">à la décision. Une instance de validation a été déployée sur un VPS AlmaLinux</w:t>
      </w:r>
      <w:r>
        <w:t xml:space="preserve"> </w:t>
      </w:r>
      <w:r>
        <w:t xml:space="preserve">au moyen de conteneurs Docker ; elle permet de vérifier progressivement les</w:t>
      </w:r>
      <w:r>
        <w:t xml:space="preserve"> </w:t>
      </w:r>
      <w:r>
        <w:t xml:space="preserve">services réalisés au fil des redéploiements. La solution reste évolutive :</w:t>
      </w:r>
      <w:r>
        <w:t xml:space="preserve"> </w:t>
      </w:r>
      <w:r>
        <w:t xml:space="preserve">l’intégration complète des modules, l’exploitation de données de marché réelles</w:t>
      </w:r>
      <w:r>
        <w:t xml:space="preserve"> </w:t>
      </w:r>
      <w:r>
        <w:t xml:space="preserve">et la préparation de la production constituent les prolongements du travail.</w:t>
      </w:r>
    </w:p>
    <w:p>
      <w:pPr>
        <w:pStyle w:val="BodyText"/>
      </w:pPr>
      <w:r>
        <w:rPr>
          <w:b/>
          <w:bCs/>
        </w:rPr>
        <w:t xml:space="preserve">Mots-clés :</w:t>
      </w:r>
      <w:r>
        <w:t xml:space="preserve"> </w:t>
      </w:r>
      <w:r>
        <w:t xml:space="preserve">système d’information bancaire, relation client, SGI,</w:t>
      </w:r>
      <w:r>
        <w:t xml:space="preserve"> </w:t>
      </w:r>
      <w:r>
        <w:t xml:space="preserve">microservices, intelligence artificielle, KYC, portefeuille, BRVM, Spring Boot,</w:t>
      </w:r>
      <w:r>
        <w:t xml:space="preserve"> </w:t>
      </w:r>
      <w:r>
        <w:t xml:space="preserve">Next.js, I-SIB.</w:t>
      </w:r>
    </w:p>
    <w:bookmarkEnd w:id="28"/>
    <w:bookmarkStart w:id="29" w:name="abstract"/>
    <w:p>
      <w:pPr>
        <w:pStyle w:val="Heading1"/>
      </w:pPr>
      <w:r>
        <w:t xml:space="preserve">Abstract</w:t>
      </w:r>
    </w:p>
    <w:p>
      <w:pPr>
        <w:pStyle w:val="FirstParagraph"/>
      </w:pPr>
      <w:r>
        <w:t xml:space="preserve">In a context where the digitalization of financial services has become a strategic</w:t>
      </w:r>
      <w:r>
        <w:t xml:space="preserve"> </w:t>
      </w:r>
      <w:r>
        <w:t xml:space="preserve">lever for banking institutions, the ability to centralize customer knowledge and</w:t>
      </w:r>
      <w:r>
        <w:t xml:space="preserve"> </w:t>
      </w:r>
      <w:r>
        <w:t xml:space="preserve">integrate investment services within a single platform has emerged as a key</w:t>
      </w:r>
      <w:r>
        <w:t xml:space="preserve"> </w:t>
      </w:r>
      <w:r>
        <w:t xml:space="preserve">challenge. This thesis presents the design and development of the</w:t>
      </w:r>
      <w:r>
        <w:t xml:space="preserve"> </w:t>
      </w:r>
      <w:r>
        <w:rPr>
          <w:b/>
          <w:bCs/>
        </w:rPr>
        <w:t xml:space="preserve">Customer Relationship</w:t>
      </w:r>
      <w:r>
        <w:t xml:space="preserve"> </w:t>
      </w:r>
      <w:r>
        <w:t xml:space="preserve">and</w:t>
      </w:r>
      <w:r>
        <w:t xml:space="preserve"> </w:t>
      </w:r>
      <w:r>
        <w:rPr>
          <w:b/>
          <w:bCs/>
        </w:rPr>
        <w:t xml:space="preserve">SGI</w:t>
      </w:r>
      <w:r>
        <w:t xml:space="preserve"> </w:t>
      </w:r>
      <w:r>
        <w:t xml:space="preserve">(Securities Management and</w:t>
      </w:r>
      <w:r>
        <w:t xml:space="preserve"> </w:t>
      </w:r>
      <w:r>
        <w:t xml:space="preserve">Intermediation) modules of the</w:t>
      </w:r>
      <w:r>
        <w:t xml:space="preserve"> </w:t>
      </w:r>
      <w:r>
        <w:rPr>
          <w:b/>
          <w:bCs/>
        </w:rPr>
        <w:t xml:space="preserve">I-SIB</w:t>
      </w:r>
      <w:r>
        <w:t xml:space="preserve"> </w:t>
      </w:r>
      <w:r>
        <w:t xml:space="preserve">project, an intelligent banking</w:t>
      </w:r>
      <w:r>
        <w:t xml:space="preserve"> </w:t>
      </w:r>
      <w:r>
        <w:t xml:space="preserve">information system developed at INNOV4AFRICA, aimed at unifying customer</w:t>
      </w:r>
      <w:r>
        <w:t xml:space="preserve"> </w:t>
      </w:r>
      <w:r>
        <w:t xml:space="preserve">management, portfolio tracking, and market access through a common interface.</w:t>
      </w:r>
    </w:p>
    <w:p>
      <w:pPr>
        <w:pStyle w:val="BodyText"/>
      </w:pPr>
      <w:r>
        <w:t xml:space="preserve">Faced with the limitations of fragmented systems, where customer relations and</w:t>
      </w:r>
      <w:r>
        <w:t xml:space="preserve"> </w:t>
      </w:r>
      <w:r>
        <w:t xml:space="preserve">investment operations are managed in separate, non-communicating tools, the</w:t>
      </w:r>
      <w:r>
        <w:t xml:space="preserve"> </w:t>
      </w:r>
      <w:r>
        <w:t xml:space="preserve">project adopts an iterative and incremental approach based on a microservices</w:t>
      </w:r>
      <w:r>
        <w:t xml:space="preserve"> </w:t>
      </w:r>
      <w:r>
        <w:t xml:space="preserve">architecture and a full API design philosophy. Technologies used include Spring</w:t>
      </w:r>
      <w:r>
        <w:t xml:space="preserve"> </w:t>
      </w:r>
      <w:r>
        <w:t xml:space="preserve">Boot, Next.js, PostgreSQL, Redis, RabbitMQ, and Keycloak for security. The</w:t>
      </w:r>
      <w:r>
        <w:t xml:space="preserve"> </w:t>
      </w:r>
      <w:r>
        <w:t xml:space="preserve">designed architecture integrates key modules : 360-degree customer view, KYC</w:t>
      </w:r>
      <w:r>
        <w:t xml:space="preserve"> </w:t>
      </w:r>
      <w:r>
        <w:t xml:space="preserve">management, prospect conversion pipeline, securities portfolio tracking, BRVM</w:t>
      </w:r>
      <w:r>
        <w:t xml:space="preserve"> </w:t>
      </w:r>
      <w:r>
        <w:t xml:space="preserve">market quotes, order management, prospect scoring, and AI-assisted churn</w:t>
      </w:r>
      <w:r>
        <w:t xml:space="preserve"> </w:t>
      </w:r>
      <w:r>
        <w:t xml:space="preserve">detection.</w:t>
      </w:r>
    </w:p>
    <w:p>
      <w:pPr>
        <w:pStyle w:val="BodyText"/>
      </w:pPr>
      <w:r>
        <w:t xml:space="preserve">The implemented platform provides interfaces for customer monitoring, prospect</w:t>
      </w:r>
      <w:r>
        <w:t xml:space="preserve"> </w:t>
      </w:r>
      <w:r>
        <w:t xml:space="preserve">management, and SGI operations, complemented by decision-support functions. A</w:t>
      </w:r>
      <w:r>
        <w:t xml:space="preserve"> </w:t>
      </w:r>
      <w:r>
        <w:t xml:space="preserve">validation instance has been deployed on an AlmaLinux VPS using Docker</w:t>
      </w:r>
      <w:r>
        <w:t xml:space="preserve"> </w:t>
      </w:r>
      <w:r>
        <w:t xml:space="preserve">containers, allowing the implemented services to be verified progressively</w:t>
      </w:r>
      <w:r>
        <w:t xml:space="preserve"> </w:t>
      </w:r>
      <w:r>
        <w:t xml:space="preserve">through successive redeployments. The solution remains evolving: complete module</w:t>
      </w:r>
      <w:r>
        <w:t xml:space="preserve"> </w:t>
      </w:r>
      <w:r>
        <w:t xml:space="preserve">integration, real market data usage, and production preparation are future work.</w:t>
      </w:r>
    </w:p>
    <w:p>
      <w:pPr>
        <w:pStyle w:val="BodyText"/>
      </w:pPr>
      <w:r>
        <w:rPr>
          <w:b/>
          <w:bCs/>
        </w:rPr>
        <w:t xml:space="preserve">Keywords:</w:t>
      </w:r>
      <w:r>
        <w:t xml:space="preserve"> </w:t>
      </w:r>
      <w:r>
        <w:t xml:space="preserve">banking information system, customer relationship management,</w:t>
      </w:r>
      <w:r>
        <w:t xml:space="preserve"> </w:t>
      </w:r>
      <w:r>
        <w:t xml:space="preserve">SGI, microservices, artificial intelligence, KYC, portfolio, BRVM, Spring Boot,</w:t>
      </w:r>
      <w:r>
        <w:t xml:space="preserve"> </w:t>
      </w:r>
      <w:r>
        <w:t xml:space="preserve">Next.js, I-SIB.</w:t>
      </w:r>
    </w:p>
    <w:bookmarkEnd w:id="29"/>
    <w:bookmarkStart w:id="30" w:name="introduction-générale"/>
    <w:p>
      <w:pPr>
        <w:pStyle w:val="Heading1"/>
      </w:pPr>
      <w:r>
        <w:t xml:space="preserve">Introduction générale</w:t>
      </w:r>
    </w:p>
    <w:p>
      <w:pPr>
        <w:pStyle w:val="FirstParagraph"/>
      </w:pPr>
      <w:r>
        <w:t xml:space="preserve">Dans un environnement où les systèmes d’information deviennent le cœur stratégique des organisations, leur capacité à répondre aux besoins métiers de manière intégrée, évolutive et sécurisée constitue un enjeu majeur de performance et de compétitivité. Le secteur des services financiers, en particulier, subit des transformations profondes liées à la digitalisation, à l’instantanéité des transactions et à l’exigence croissante d’une expérience utilisateur unifiée</w:t>
      </w:r>
      <w:r>
        <w:t xml:space="preserve"> </w:t>
      </w:r>
      <w:r>
        <w:t xml:space="preserve">.</w:t>
      </w:r>
    </w:p>
    <w:p>
      <w:pPr>
        <w:pStyle w:val="BodyText"/>
      </w:pPr>
      <w:r>
        <w:t xml:space="preserve">Cependant, de nombreuses structures continuent de fonctionner avec des applicatifs cloisonnés, ce qui fragmente la donnée, complexifie les processus décisionnels et nuit à la qualité du service rendu. Cette situation est d’autant plus critique dans les établissements bancaires et les sociétés de gestion, où la relation client et les services d’investissement sont souvent déconnectés.</w:t>
      </w:r>
    </w:p>
    <w:p>
      <w:pPr>
        <w:pStyle w:val="BodyText"/>
      </w:pPr>
      <w:r>
        <w:t xml:space="preserve">C’est dans ce contexte que s’inscrit le présent mémoire, réalisé au sein de l’entreprise INNOV4AFRICA dans le cadre d’un stage de deuxième cycle. Le travail effectué porte sur la conception et le développement d’un système d’information bancaire intelligent dénommé</w:t>
      </w:r>
      <w:r>
        <w:t xml:space="preserve"> </w:t>
      </w:r>
      <w:r>
        <w:rPr>
          <w:b/>
          <w:bCs/>
        </w:rPr>
        <w:t xml:space="preserve">I-SIB</w:t>
      </w:r>
      <w:r>
        <w:t xml:space="preserve">, avec un focus sur les modules complémentaires que sont la</w:t>
      </w:r>
      <w:r>
        <w:t xml:space="preserve"> </w:t>
      </w:r>
      <w:r>
        <w:rPr>
          <w:b/>
          <w:bCs/>
        </w:rPr>
        <w:t xml:space="preserve">Relation Client</w:t>
      </w:r>
      <w:r>
        <w:t xml:space="preserve"> </w:t>
      </w:r>
      <w:r>
        <w:t xml:space="preserve"> </w:t>
      </w:r>
      <w:r>
        <w:t xml:space="preserve">et la</w:t>
      </w:r>
      <w:r>
        <w:t xml:space="preserve"> </w:t>
      </w:r>
      <w:r>
        <w:rPr>
          <w:b/>
          <w:bCs/>
        </w:rPr>
        <w:t xml:space="preserve">Société de Gestion et d’Intermédiation (SGI)</w:t>
      </w:r>
      <w:r>
        <w:t xml:space="preserve"> </w:t>
      </w:r>
      <w:r>
        <w:t xml:space="preserve">.</w:t>
      </w:r>
    </w:p>
    <w:p>
      <w:pPr>
        <w:pStyle w:val="BodyText"/>
      </w:pPr>
      <w:r>
        <w:t xml:space="preserve">Outre cette introduction générale et la conclusion, ce document est structuré en</w:t>
      </w:r>
      <w:r>
        <w:t xml:space="preserve"> </w:t>
      </w:r>
      <w:r>
        <w:t xml:space="preserve">quatre chapitres.</w:t>
      </w:r>
    </w:p>
    <w:p>
      <w:pPr>
        <w:numPr>
          <w:ilvl w:val="0"/>
          <w:numId w:val="1002"/>
        </w:numPr>
      </w:pPr>
      <w:r>
        <w:t xml:space="preserve">Le</w:t>
      </w:r>
      <w:r>
        <w:t xml:space="preserve"> </w:t>
      </w:r>
      <w:r>
        <w:rPr>
          <w:b/>
          <w:bCs/>
        </w:rPr>
        <w:t xml:space="preserve">premier chapitre</w:t>
      </w:r>
      <w:r>
        <w:t xml:space="preserve"> </w:t>
      </w:r>
      <w:r>
        <w:t xml:space="preserve">présente l’entreprise d’accueil, expose le contexte spécifique du projet, la problématique identifiée, les objectifs poursuivis ainsi que la démarche méthodologique adoptée.</w:t>
      </w:r>
    </w:p>
    <w:p>
      <w:pPr>
        <w:numPr>
          <w:ilvl w:val="0"/>
          <w:numId w:val="1002"/>
        </w:numPr>
      </w:pPr>
      <w:r>
        <w:t xml:space="preserve">Le</w:t>
      </w:r>
      <w:r>
        <w:t xml:space="preserve"> </w:t>
      </w:r>
      <w:r>
        <w:rPr>
          <w:b/>
          <w:bCs/>
        </w:rPr>
        <w:t xml:space="preserve">deuxième chapitre</w:t>
      </w:r>
      <w:r>
        <w:t xml:space="preserve"> </w:t>
      </w:r>
      <w:r>
        <w:t xml:space="preserve">est consacré à l’analyse fonctionnelle et non fonctionnelle des besoins.</w:t>
      </w:r>
    </w:p>
    <w:p>
      <w:pPr>
        <w:numPr>
          <w:ilvl w:val="0"/>
          <w:numId w:val="1002"/>
        </w:numPr>
      </w:pPr>
      <w:r>
        <w:t xml:space="preserve">Le</w:t>
      </w:r>
      <w:r>
        <w:t xml:space="preserve"> </w:t>
      </w:r>
      <w:r>
        <w:rPr>
          <w:b/>
          <w:bCs/>
        </w:rPr>
        <w:t xml:space="preserve">troisième chapitre</w:t>
      </w:r>
      <w:r>
        <w:t xml:space="preserve"> </w:t>
      </w:r>
      <w:r>
        <w:t xml:space="preserve">détaille la conception de la solution, son architecture et les choix technologiques retenus.</w:t>
      </w:r>
    </w:p>
    <w:p>
      <w:pPr>
        <w:numPr>
          <w:ilvl w:val="0"/>
          <w:numId w:val="1002"/>
        </w:numPr>
      </w:pPr>
      <w:r>
        <w:t xml:space="preserve">Le</w:t>
      </w:r>
      <w:r>
        <w:t xml:space="preserve"> </w:t>
      </w:r>
      <w:r>
        <w:rPr>
          <w:b/>
          <w:bCs/>
        </w:rPr>
        <w:t xml:space="preserve">quatrième chapitre</w:t>
      </w:r>
      <w:r>
        <w:t xml:space="preserve"> </w:t>
      </w:r>
      <w:r>
        <w:t xml:space="preserve">présente les résultats obtenus et propose une analyse critique de la solution développée.</w:t>
      </w:r>
    </w:p>
    <w:p>
      <w:pPr>
        <w:pStyle w:val="FirstParagraph"/>
      </w:pPr>
      <w:r>
        <w:t xml:space="preserve">Enfin, la conclusion générale revient sur les apports du projet, les difficultés rencontrées et les perspectives d’amélioration.</w:t>
      </w:r>
    </w:p>
    <w:bookmarkEnd w:id="30"/>
    <w:bookmarkStart w:id="45" w:name="présentations-générales"/>
    <w:p>
      <w:pPr>
        <w:pStyle w:val="Heading1"/>
      </w:pPr>
      <w:r>
        <w:t xml:space="preserve">Présentations générales</w:t>
      </w:r>
    </w:p>
    <w:bookmarkStart w:id="31" w:name="introduction"/>
    <w:p>
      <w:pPr>
        <w:pStyle w:val="Heading2"/>
      </w:pPr>
      <w:r>
        <w:t xml:space="preserve">Introduction</w:t>
      </w:r>
    </w:p>
    <w:p>
      <w:pPr>
        <w:pStyle w:val="FirstParagraph"/>
      </w:pPr>
      <w:r>
        <w:t xml:space="preserve">Ce chapitre présente l’entreprise dans laquelle nous avons effectué notre stage ainsi que le</w:t>
      </w:r>
      <w:r>
        <w:t xml:space="preserve"> </w:t>
      </w:r>
      <w:r>
        <w:t xml:space="preserve">sujet de notre projet. Nous commencerons par présenter Innov4africa, l’entreprise qui nous a</w:t>
      </w:r>
      <w:r>
        <w:t xml:space="preserve"> </w:t>
      </w:r>
      <w:r>
        <w:t xml:space="preserve">accueillis. Nous expliquerons ensuite le contexte du projet, en identifiant la problématique et les</w:t>
      </w:r>
      <w:r>
        <w:t xml:space="preserve"> </w:t>
      </w:r>
      <w:r>
        <w:t xml:space="preserve">objectifs à atteindre. Enfin, nous détaillerons les caractéristiques du projet ainsi que la méthode de</w:t>
      </w:r>
      <w:r>
        <w:t xml:space="preserve"> </w:t>
      </w:r>
      <w:r>
        <w:t xml:space="preserve">travail adoptée pour le mener à bien.</w:t>
      </w:r>
    </w:p>
    <w:bookmarkEnd w:id="31"/>
    <w:bookmarkStart w:id="34" w:name="présentation-de-la-structure-daccueil"/>
    <w:p>
      <w:pPr>
        <w:pStyle w:val="Heading2"/>
      </w:pPr>
      <w:r>
        <w:t xml:space="preserve">Présentation de la structure d’accueil</w:t>
      </w:r>
    </w:p>
    <w:bookmarkStart w:id="32" w:name="présentation-de-innov4africa"/>
    <w:p>
      <w:pPr>
        <w:pStyle w:val="Heading3"/>
      </w:pPr>
      <w:r>
        <w:t xml:space="preserve">Présentation de Innov4Africa</w:t>
      </w:r>
    </w:p>
    <w:p>
      <w:pPr>
        <w:pStyle w:val="FirstParagraph"/>
      </w:pPr>
      <w:r>
        <w:t xml:space="preserve">INNOV4AFRICA, une société anonyme au capital de dix (10) millions de FCFA, est située à la villa</w:t>
      </w:r>
      <w:r>
        <w:t xml:space="preserve"> </w:t>
      </w:r>
      <w:r>
        <w:t xml:space="preserve">numéro 9405, Sacré-Cœur 3, Ancienne Piste X VDN à Dakar.</w:t>
      </w:r>
      <w:r>
        <w:t xml:space="preserve"> </w:t>
      </w:r>
      <w:r>
        <w:t xml:space="preserve">L’objectif principal de INNOV4AFRICA est de contribuer au développement économique et social</w:t>
      </w:r>
      <w:r>
        <w:t xml:space="preserve"> </w:t>
      </w:r>
      <w:r>
        <w:t xml:space="preserve">de l’Afrique en stimulant l’innovation à travers les nouvelles technologies, couvrant divers secteurs</w:t>
      </w:r>
      <w:r>
        <w:t xml:space="preserve"> </w:t>
      </w:r>
      <w:r>
        <w:t xml:space="preserve">économiques. En tant qu’acteur de l’innovation, l’entreprise œuvre pour l’intégration des technologies</w:t>
      </w:r>
      <w:r>
        <w:t xml:space="preserve"> </w:t>
      </w:r>
      <w:r>
        <w:t xml:space="preserve">modernes afin de transformer et dynamiser l’ensemble du continent africain.</w:t>
      </w:r>
      <w:r>
        <w:t xml:space="preserve"> </w:t>
      </w:r>
      <w:r>
        <w:t xml:space="preserve">L’organisation d’INNOV4AFRICA repose sur une structure de holdings regroupant des filiales</w:t>
      </w:r>
      <w:r>
        <w:t xml:space="preserve"> </w:t>
      </w:r>
      <w:r>
        <w:t xml:space="preserve">spécialisées et des représentants commerciaux présents dans de nombreux pays africains, tant</w:t>
      </w:r>
      <w:r>
        <w:t xml:space="preserve"> </w:t>
      </w:r>
      <w:r>
        <w:t xml:space="preserve">francophones qu’anglophones, afin de couvrir l’ensemble du marché africain.</w:t>
      </w:r>
      <w:r>
        <w:t xml:space="preserve"> </w:t>
      </w:r>
      <w:r>
        <w:t xml:space="preserve">Le Président Directeur Général (DG) de INNOV4AFRICA se prénomme M. Khassoum WONE. Ce</w:t>
      </w:r>
      <w:r>
        <w:t xml:space="preserve"> </w:t>
      </w:r>
      <w:r>
        <w:t xml:space="preserve">dernier est entouré par un conseil d’administration d’une expertise reconnue regroupant des</w:t>
      </w:r>
      <w:r>
        <w:t xml:space="preserve"> </w:t>
      </w:r>
      <w:r>
        <w:t xml:space="preserve">personnalités indépendantes. M. Khassoum WONE est un ingénieur de conception en Informatique.</w:t>
      </w:r>
      <w:r>
        <w:t xml:space="preserve"> </w:t>
      </w:r>
      <w:r>
        <w:t xml:space="preserve">Il a été DG de l’Agence de l’Informatique De l’Etat (ADIE) du 27 avril 2012 au 23 juillet 2014. Il a</w:t>
      </w:r>
      <w:r>
        <w:t xml:space="preserve"> </w:t>
      </w:r>
      <w:r>
        <w:t xml:space="preserve">managé une équipe d’une centaine d’ingénieurs informaticiens/télécoms et a pris le pilotage de projets</w:t>
      </w:r>
      <w:r>
        <w:t xml:space="preserve"> </w:t>
      </w:r>
      <w:r>
        <w:t xml:space="preserve">d’envergure à gros budget au Sénégal.</w:t>
      </w:r>
    </w:p>
    <w:bookmarkEnd w:id="32"/>
    <w:bookmarkStart w:id="33" w:name="domaines-dactivités"/>
    <w:p>
      <w:pPr>
        <w:pStyle w:val="Heading3"/>
      </w:pPr>
      <w:r>
        <w:t xml:space="preserve">Domaines d’activités</w:t>
      </w:r>
    </w:p>
    <w:p>
      <w:pPr>
        <w:pStyle w:val="FirstParagraph"/>
      </w:pPr>
      <w:r>
        <w:t xml:space="preserve">INNOV4AFRICA se distingue par sa capacité à concevoir et à déployer des innovations majeures dans le domaine des technologies de l’information et de la communication (TIC), au service des gouvernements, des entreprises et des citoyens à travers l’Afrique.</w:t>
      </w:r>
    </w:p>
    <w:p>
      <w:pPr>
        <w:pStyle w:val="BodyText"/>
      </w:pPr>
      <w:r>
        <w:t xml:space="preserve">L’entreprise intervient dans plusieurs secteurs stratégiques du numérique. Ses principaux domaines d’activités se présentent comme suit.</w:t>
      </w:r>
    </w:p>
    <w:p>
      <w:pPr>
        <w:numPr>
          <w:ilvl w:val="0"/>
          <w:numId w:val="1003"/>
        </w:numPr>
      </w:pPr>
      <w:r>
        <w:rPr>
          <w:b/>
          <w:bCs/>
        </w:rPr>
        <w:t xml:space="preserve">Services publics numériques</w:t>
      </w:r>
      <w:r>
        <w:t xml:space="preserve"> </w:t>
      </w:r>
      <w:r>
        <w:t xml:space="preserve">: e-Government, e-Santé et e-Éducation .</w:t>
      </w:r>
    </w:p>
    <w:p>
      <w:pPr>
        <w:numPr>
          <w:ilvl w:val="0"/>
          <w:numId w:val="1003"/>
        </w:numPr>
      </w:pPr>
      <w:r>
        <w:rPr>
          <w:b/>
          <w:bCs/>
        </w:rPr>
        <w:t xml:space="preserve">soutien à l’innovation</w:t>
      </w:r>
      <w:r>
        <w:t xml:space="preserve"> </w:t>
      </w:r>
      <w:r>
        <w:t xml:space="preserve">: incubation de start-ups et gestion de fonds d’investissement .</w:t>
      </w:r>
    </w:p>
    <w:p>
      <w:pPr>
        <w:numPr>
          <w:ilvl w:val="0"/>
          <w:numId w:val="1003"/>
        </w:numPr>
      </w:pPr>
      <w:r>
        <w:rPr>
          <w:b/>
          <w:bCs/>
        </w:rPr>
        <w:t xml:space="preserve">solutions technologiques avancées</w:t>
      </w:r>
      <w:r>
        <w:t xml:space="preserve"> </w:t>
      </w:r>
      <w:r>
        <w:t xml:space="preserve">: cybersécurité, paiements électroniques, biométrie et transfert de technologies .</w:t>
      </w:r>
    </w:p>
    <w:p>
      <w:pPr>
        <w:numPr>
          <w:ilvl w:val="0"/>
          <w:numId w:val="1003"/>
        </w:numPr>
      </w:pPr>
      <w:r>
        <w:rPr>
          <w:b/>
          <w:bCs/>
        </w:rPr>
        <w:t xml:space="preserve">développement numérique</w:t>
      </w:r>
      <w:r>
        <w:t xml:space="preserve"> </w:t>
      </w:r>
      <w:r>
        <w:t xml:space="preserve">: conception de logiciels, applications mobiles, télécommunications et e-commerce .</w:t>
      </w:r>
    </w:p>
    <w:p>
      <w:pPr>
        <w:numPr>
          <w:ilvl w:val="0"/>
          <w:numId w:val="1003"/>
        </w:numPr>
      </w:pPr>
      <w:r>
        <w:rPr>
          <w:b/>
          <w:bCs/>
        </w:rPr>
        <w:t xml:space="preserve">communication et accompagnement</w:t>
      </w:r>
      <w:r>
        <w:t xml:space="preserve"> </w:t>
      </w:r>
      <w:r>
        <w:t xml:space="preserve">: solutions médias, systèmes d’identification, développement d’affaires et partenariats stratégiques.</w:t>
      </w:r>
    </w:p>
    <w:bookmarkEnd w:id="33"/>
    <w:bookmarkEnd w:id="34"/>
    <w:bookmarkStart w:id="40" w:name="présentation-du-sujet"/>
    <w:p>
      <w:pPr>
        <w:pStyle w:val="Heading2"/>
      </w:pPr>
      <w:r>
        <w:t xml:space="preserve">Présentation du sujet</w:t>
      </w:r>
    </w:p>
    <w:bookmarkStart w:id="35" w:name="contexte"/>
    <w:p>
      <w:pPr>
        <w:pStyle w:val="Heading3"/>
      </w:pPr>
      <w:r>
        <w:t xml:space="preserve">Contexte</w:t>
      </w:r>
    </w:p>
    <w:p>
      <w:pPr>
        <w:pStyle w:val="FirstParagraph"/>
      </w:pPr>
      <w:r>
        <w:t xml:space="preserve">Le secteur bancaire connaît une transformation profonde portée par la</w:t>
      </w:r>
      <w:r>
        <w:t xml:space="preserve"> </w:t>
      </w:r>
      <w:r>
        <w:t xml:space="preserve">digitalisation des services, l’ouverture des systèmes par API, l’exigence</w:t>
      </w:r>
      <w:r>
        <w:t xml:space="preserve"> </w:t>
      </w:r>
      <w:r>
        <w:t xml:space="preserve">d’instantanéité et l’arrivée de l’intelligence artificielle dans les processus</w:t>
      </w:r>
      <w:r>
        <w:t xml:space="preserve"> </w:t>
      </w:r>
      <w:r>
        <w:t xml:space="preserve">métiers. Les clients attendent désormais une expérience simple, continue et</w:t>
      </w:r>
      <w:r>
        <w:t xml:space="preserve"> </w:t>
      </w:r>
      <w:r>
        <w:t xml:space="preserve">personnalisée, tandis que les établissements financiers doivent maîtriser leurs</w:t>
      </w:r>
      <w:r>
        <w:t xml:space="preserve"> </w:t>
      </w:r>
      <w:r>
        <w:t xml:space="preserve">risques, respecter la conformité et optimiser leurs coûts d’exploitation.</w:t>
      </w:r>
    </w:p>
    <w:p>
      <w:pPr>
        <w:pStyle w:val="BodyText"/>
      </w:pPr>
      <w:r>
        <w:t xml:space="preserve">Dans ce contexte, un Système d’Information Bancaire (SIB) ne peut plus être</w:t>
      </w:r>
      <w:r>
        <w:t xml:space="preserve"> </w:t>
      </w:r>
      <w:r>
        <w:t xml:space="preserve">seulement un outil de tenue de comptes. Il devient une plateforme centrale</w:t>
      </w:r>
      <w:r>
        <w:t xml:space="preserve"> </w:t>
      </w:r>
      <w:r>
        <w:t xml:space="preserve">capable de gérer la relation client, les opérations, la conformité, le</w:t>
      </w:r>
      <w:r>
        <w:t xml:space="preserve"> </w:t>
      </w:r>
      <w:r>
        <w:t xml:space="preserve">reporting, l’analyse de données et les services à valeur ajoutée. Les banques,</w:t>
      </w:r>
      <w:r>
        <w:t xml:space="preserve"> </w:t>
      </w:r>
      <w:r>
        <w:t xml:space="preserve">institutions de microfinance, établissements de paiement, établissements</w:t>
      </w:r>
      <w:r>
        <w:t xml:space="preserve"> </w:t>
      </w:r>
      <w:r>
        <w:t xml:space="preserve">financiers de crédit, émetteurs de monnaie électronique et SGI ont donc besoin</w:t>
      </w:r>
      <w:r>
        <w:t xml:space="preserve"> </w:t>
      </w:r>
      <w:r>
        <w:t xml:space="preserve">de solutions plus modulaires, ouvertes et intelligentes.</w:t>
      </w:r>
    </w:p>
    <w:p>
      <w:pPr>
        <w:pStyle w:val="BodyText"/>
      </w:pPr>
      <w:r>
        <w:rPr>
          <w:b/>
          <w:bCs/>
        </w:rPr>
        <w:t xml:space="preserve">I-SIB</w:t>
      </w:r>
      <w:r>
        <w:t xml:space="preserve">, porté par INNOV4AFRICA, s’inscrit dans cette évolution. Il</w:t>
      </w:r>
      <w:r>
        <w:t xml:space="preserve"> </w:t>
      </w:r>
      <w:r>
        <w:t xml:space="preserve">vise à proposer un système d’information bancaire complet, construit autour</w:t>
      </w:r>
      <w:r>
        <w:t xml:space="preserve"> </w:t>
      </w:r>
      <w:r>
        <w:t xml:space="preserve">d’une architecture microservices, d’une logique full API, d’une disponibilité</w:t>
      </w:r>
      <w:r>
        <w:t xml:space="preserve"> </w:t>
      </w:r>
      <w:r>
        <w:t xml:space="preserve">24/7 et d’un usage de l’intelligence artificielle dans les modules métiers.</w:t>
      </w:r>
    </w:p>
    <w:p>
      <w:pPr>
        <w:pStyle w:val="BodyText"/>
      </w:pPr>
      <w:r>
        <w:t xml:space="preserve">Le périmètre traité concerne deux modules complémentaires : le module</w:t>
      </w:r>
      <w:r>
        <w:t xml:space="preserve"> </w:t>
      </w:r>
      <w:r>
        <w:rPr>
          <w:b/>
          <w:bCs/>
        </w:rPr>
        <w:t xml:space="preserve">RELATION CLIENT</w:t>
      </w:r>
      <w:r>
        <w:t xml:space="preserve">, qui centralise la connaissance client et les</w:t>
      </w:r>
      <w:r>
        <w:t xml:space="preserve"> </w:t>
      </w:r>
      <w:r>
        <w:t xml:space="preserve">interactions commerciales, et le module</w:t>
      </w:r>
      <w:r>
        <w:t xml:space="preserve"> </w:t>
      </w:r>
      <w:r>
        <w:rPr>
          <w:b/>
          <w:bCs/>
        </w:rPr>
        <w:t xml:space="preserve">SGI</w:t>
      </w:r>
      <w:r>
        <w:t xml:space="preserve">, qui permet d’intégrer la</w:t>
      </w:r>
      <w:r>
        <w:t xml:space="preserve"> </w:t>
      </w:r>
      <w:r>
        <w:t xml:space="preserve">gestion d’investissement directement dans l’application bancaire.</w:t>
      </w:r>
    </w:p>
    <w:p>
      <w:pPr>
        <w:pStyle w:val="BodyText"/>
      </w:pPr>
      <w:r>
        <w:t xml:space="preserve">Pour faciliter la compréhension de ce livrable, les principaux termes et</w:t>
      </w:r>
      <w:r>
        <w:t xml:space="preserve"> </w:t>
      </w:r>
      <w:r>
        <w:t xml:space="preserve">concepts utilisés sont définis ci-dessous.</w:t>
      </w:r>
    </w:p>
    <w:p>
      <w:pPr>
        <w:pStyle w:val="DefinitionTerm"/>
      </w:pPr>
      <w:r>
        <w:t xml:space="preserve">I-SIB</w:t>
      </w:r>
    </w:p>
    <w:p>
      <w:pPr>
        <w:pStyle w:val="Definition"/>
      </w:pPr>
      <w:r>
        <w:t xml:space="preserve">Solution de SIB intelligente proposée par INNOV4AFRICA,</w:t>
      </w:r>
      <w:r>
        <w:t xml:space="preserve"> </w:t>
      </w:r>
      <w:r>
        <w:t xml:space="preserve">intégrant les processus bancaires, l’IA, les API et une architecture</w:t>
      </w:r>
      <w:r>
        <w:t xml:space="preserve"> </w:t>
      </w:r>
      <w:r>
        <w:t xml:space="preserve">microservices.</w:t>
      </w:r>
    </w:p>
    <w:p>
      <w:pPr>
        <w:pStyle w:val="DefinitionTerm"/>
      </w:pPr>
      <w:r>
        <w:t xml:space="preserve">Microservice</w:t>
      </w:r>
    </w:p>
    <w:p>
      <w:pPr>
        <w:pStyle w:val="Definition"/>
      </w:pPr>
      <w:r>
        <w:t xml:space="preserve">Application autonome dédiée à une responsabilité métier</w:t>
      </w:r>
      <w:r>
        <w:t xml:space="preserve"> </w:t>
      </w:r>
      <w:r>
        <w:t xml:space="preserve">précise, pouvant évoluer et être déployée indépendamment.</w:t>
      </w:r>
    </w:p>
    <w:p>
      <w:pPr>
        <w:pStyle w:val="DefinitionTerm"/>
      </w:pPr>
      <w:r>
        <w:t xml:space="preserve">Portefeuille</w:t>
      </w:r>
    </w:p>
    <w:p>
      <w:pPr>
        <w:pStyle w:val="Definition"/>
      </w:pPr>
      <w:r>
        <w:t xml:space="preserve">Ensemble des actifs financiers détenus par un client :</w:t>
      </w:r>
      <w:r>
        <w:t xml:space="preserve"> </w:t>
      </w:r>
      <w:r>
        <w:t xml:space="preserve">actions, obligations.</w:t>
      </w:r>
    </w:p>
    <w:p>
      <w:pPr>
        <w:pStyle w:val="DefinitionTerm"/>
      </w:pPr>
      <w:r>
        <w:t xml:space="preserve">Cotation</w:t>
      </w:r>
    </w:p>
    <w:p>
      <w:pPr>
        <w:pStyle w:val="Definition"/>
      </w:pPr>
      <w:r>
        <w:t xml:space="preserve">Valorisation ou prix de marché d’un instrument financier</w:t>
      </w:r>
      <w:r>
        <w:t xml:space="preserve"> </w:t>
      </w:r>
      <w:r>
        <w:t xml:space="preserve">à un moment donné.</w:t>
      </w:r>
    </w:p>
    <w:p>
      <w:pPr>
        <w:pStyle w:val="DefinitionTerm"/>
      </w:pPr>
      <w:r>
        <w:t xml:space="preserve">Passage d’ordres</w:t>
      </w:r>
    </w:p>
    <w:p>
      <w:pPr>
        <w:pStyle w:val="Definition"/>
      </w:pPr>
      <w:r>
        <w:t xml:space="preserve">Processus par lequel un client demande l’achat</w:t>
      </w:r>
      <w:r>
        <w:t xml:space="preserve"> </w:t>
      </w:r>
      <w:r>
        <w:t xml:space="preserve">ou la vente d’un instrument financier.</w:t>
      </w:r>
    </w:p>
    <w:bookmarkEnd w:id="35"/>
    <w:bookmarkStart w:id="36" w:name="problématique"/>
    <w:p>
      <w:pPr>
        <w:pStyle w:val="Heading3"/>
      </w:pPr>
      <w:r>
        <w:t xml:space="preserve">Problématique</w:t>
      </w:r>
    </w:p>
    <w:p>
      <w:pPr>
        <w:pStyle w:val="FirstParagraph"/>
      </w:pPr>
      <w:r>
        <w:t xml:space="preserve">Dans beaucoup d’environnements bancaires, la relation client et les services</w:t>
      </w:r>
      <w:r>
        <w:t xml:space="preserve"> </w:t>
      </w:r>
      <w:r>
        <w:t xml:space="preserve">d’investissement sont traités dans des outils séparés. Le client consulte ses</w:t>
      </w:r>
      <w:r>
        <w:t xml:space="preserve"> </w:t>
      </w:r>
      <w:r>
        <w:t xml:space="preserve">comptes dans une application bancaire, puis doit souvent utiliser un autre canal</w:t>
      </w:r>
      <w:r>
        <w:t xml:space="preserve"> </w:t>
      </w:r>
      <w:r>
        <w:t xml:space="preserve">ou contacter une autre structure pour accéder aux services de placement, acheter</w:t>
      </w:r>
      <w:r>
        <w:t xml:space="preserve"> </w:t>
      </w:r>
      <w:r>
        <w:t xml:space="preserve">ou vendre des actions BRVM, suivre ses obligations ou visualiser la performance</w:t>
      </w:r>
      <w:r>
        <w:t xml:space="preserve"> </w:t>
      </w:r>
      <w:r>
        <w:t xml:space="preserve">de son portefeuille-titres.</w:t>
      </w:r>
    </w:p>
    <w:p>
      <w:pPr>
        <w:pStyle w:val="BodyText"/>
      </w:pPr>
      <w:r>
        <w:t xml:space="preserve">Cette séparation crée plusieurs difficultés concrètes : le client ne peut pas</w:t>
      </w:r>
      <w:r>
        <w:t xml:space="preserve"> </w:t>
      </w:r>
      <w:r>
        <w:t xml:space="preserve">prendre une décision de placement en ayant simultanément sous les yeux sa</w:t>
      </w:r>
      <w:r>
        <w:t xml:space="preserve"> </w:t>
      </w:r>
      <w:r>
        <w:t xml:space="preserve">liquidité disponible et les opportunités de marché ; il doit reformuler ses</w:t>
      </w:r>
      <w:r>
        <w:t xml:space="preserve"> </w:t>
      </w:r>
      <w:r>
        <w:t xml:space="preserve">informations à chaque changement de canal. L’expérience est fragmentée, ce qui</w:t>
      </w:r>
      <w:r>
        <w:t xml:space="preserve"> </w:t>
      </w:r>
      <w:r>
        <w:t xml:space="preserve">freine l’engagement sur les produits d’investissement.</w:t>
      </w:r>
    </w:p>
    <w:p>
      <w:pPr>
        <w:pStyle w:val="BodyText"/>
      </w:pPr>
      <w:r>
        <w:t xml:space="preserve">Pour les équipes internes, l’absence de passerelle entre les deux systèmes</w:t>
      </w:r>
      <w:r>
        <w:t xml:space="preserve"> </w:t>
      </w:r>
      <w:r>
        <w:t xml:space="preserve">empêche de croiser les données bancaires et les données d’investissement d’un</w:t>
      </w:r>
      <w:r>
        <w:t xml:space="preserve"> </w:t>
      </w:r>
      <w:r>
        <w:t xml:space="preserve">même client. Les interactions sont journalisées séparément dans des systèmes</w:t>
      </w:r>
      <w:r>
        <w:t xml:space="preserve"> </w:t>
      </w:r>
      <w:r>
        <w:t xml:space="preserve">sans communication entre eux, rendant l’historique incomplet. La banque n’a</w:t>
      </w:r>
      <w:r>
        <w:t xml:space="preserve"> </w:t>
      </w:r>
      <w:r>
        <w:t xml:space="preserve">aucune visibilité sur l’activité d’investissement du client, et la SGI ne</w:t>
      </w:r>
      <w:r>
        <w:t xml:space="preserve"> </w:t>
      </w:r>
      <w:r>
        <w:t xml:space="preserve">dispose d’aucun contexte bancaire. Le client sort complètement du périmètre de</w:t>
      </w:r>
      <w:r>
        <w:t xml:space="preserve"> </w:t>
      </w:r>
      <w:r>
        <w:t xml:space="preserve">l’établissement pour investir, en utilisant ses données bancaires dans un cadre</w:t>
      </w:r>
      <w:r>
        <w:t xml:space="preserve"> </w:t>
      </w:r>
      <w:r>
        <w:t xml:space="preserve">totalement distinct.</w:t>
      </w:r>
    </w:p>
    <w:bookmarkEnd w:id="36"/>
    <w:bookmarkStart w:id="39" w:name="objectifs"/>
    <w:p>
      <w:pPr>
        <w:pStyle w:val="Heading3"/>
      </w:pPr>
      <w:r>
        <w:t xml:space="preserve">Objectifs</w:t>
      </w:r>
    </w:p>
    <w:bookmarkStart w:id="37" w:name="objectif-général"/>
    <w:p>
      <w:pPr>
        <w:pStyle w:val="Heading4"/>
      </w:pPr>
      <w:r>
        <w:t xml:space="preserve">Objectif général</w:t>
      </w:r>
    </w:p>
    <w:p>
      <w:pPr>
        <w:pStyle w:val="FirstParagraph"/>
      </w:pPr>
      <w:r>
        <w:t xml:space="preserve">Disposer d’un système d’information bancaire intelligent et centralisé,</w:t>
      </w:r>
      <w:r>
        <w:t xml:space="preserve"> </w:t>
      </w:r>
      <w:r>
        <w:t xml:space="preserve">intégrant les modules</w:t>
      </w:r>
      <w:r>
        <w:t xml:space="preserve"> </w:t>
      </w:r>
      <w:r>
        <w:rPr>
          <w:b/>
          <w:bCs/>
        </w:rPr>
        <w:t xml:space="preserve">RELATION CLIENT</w:t>
      </w:r>
      <w:r>
        <w:t xml:space="preserve"> </w:t>
      </w:r>
      <w:r>
        <w:t xml:space="preserve">et</w:t>
      </w:r>
      <w:r>
        <w:t xml:space="preserve"> </w:t>
      </w:r>
      <w:r>
        <w:rPr>
          <w:b/>
          <w:bCs/>
        </w:rPr>
        <w:t xml:space="preserve">SGI</w:t>
      </w:r>
      <w:r>
        <w:t xml:space="preserve">, permettant</w:t>
      </w:r>
      <w:r>
        <w:t xml:space="preserve"> </w:t>
      </w:r>
      <w:r>
        <w:t xml:space="preserve">d’améliorer l’expérience client, le suivi des portefeuilles et l’accès aux</w:t>
      </w:r>
      <w:r>
        <w:t xml:space="preserve"> </w:t>
      </w:r>
      <w:r>
        <w:t xml:space="preserve">produits d’investissement depuis une plateforme unique.</w:t>
      </w:r>
    </w:p>
    <w:bookmarkEnd w:id="37"/>
    <w:bookmarkStart w:id="38" w:name="objectifs-spécifiques"/>
    <w:p>
      <w:pPr>
        <w:pStyle w:val="Heading4"/>
      </w:pPr>
      <w:r>
        <w:t xml:space="preserve">Objectifs spécifiques</w:t>
      </w:r>
    </w:p>
    <w:p>
      <w:pPr>
        <w:pStyle w:val="FirstParagraph"/>
      </w:pPr>
      <w:r>
        <w:t xml:space="preserve">Les objectifs spécifiques du projet se déclinent en plusieurs axes. Ils sont présentés ci-dessous.</w:t>
      </w:r>
    </w:p>
    <w:p>
      <w:pPr>
        <w:numPr>
          <w:ilvl w:val="0"/>
          <w:numId w:val="1004"/>
        </w:numPr>
      </w:pPr>
      <w:r>
        <w:t xml:space="preserve">Mettre en place un tableau de bord Relation Client adapté au client.</w:t>
      </w:r>
      <w:r>
        <w:t xml:space="preserve"> </w:t>
      </w:r>
      <w:r>
        <w:t xml:space="preserve">au chargé de clientèle et à la direction.</w:t>
      </w:r>
    </w:p>
    <w:p>
      <w:pPr>
        <w:numPr>
          <w:ilvl w:val="0"/>
          <w:numId w:val="1004"/>
        </w:numPr>
      </w:pPr>
      <w:r>
        <w:t xml:space="preserve">Gérer les prospects avec un pipeline de conversion et un score</w:t>
      </w:r>
      <w:r>
        <w:t xml:space="preserve"> </w:t>
      </w:r>
      <w:r>
        <w:t xml:space="preserve">automatique.</w:t>
      </w:r>
    </w:p>
    <w:p>
      <w:pPr>
        <w:numPr>
          <w:ilvl w:val="0"/>
          <w:numId w:val="1004"/>
        </w:numPr>
      </w:pPr>
      <w:r>
        <w:t xml:space="preserve">Construire une vue 360° client incluant identité, KYC, comptes,</w:t>
      </w:r>
      <w:r>
        <w:t xml:space="preserve"> </w:t>
      </w:r>
      <w:r>
        <w:t xml:space="preserve">produits, transactions et interactions.</w:t>
      </w:r>
    </w:p>
    <w:p>
      <w:pPr>
        <w:numPr>
          <w:ilvl w:val="0"/>
          <w:numId w:val="1004"/>
        </w:numPr>
      </w:pPr>
      <w:r>
        <w:t xml:space="preserve">Dématérialiser les documents et courriers administratifs liés au cycle</w:t>
      </w:r>
      <w:r>
        <w:t xml:space="preserve"> </w:t>
      </w:r>
      <w:r>
        <w:t xml:space="preserve">de vie client.</w:t>
      </w:r>
    </w:p>
    <w:p>
      <w:pPr>
        <w:numPr>
          <w:ilvl w:val="0"/>
          <w:numId w:val="1004"/>
        </w:numPr>
      </w:pPr>
      <w:r>
        <w:t xml:space="preserve">Intégrer les exigences KYC dans les processus de suivi client.</w:t>
      </w:r>
    </w:p>
    <w:p>
      <w:pPr>
        <w:numPr>
          <w:ilvl w:val="0"/>
          <w:numId w:val="1004"/>
        </w:numPr>
      </w:pPr>
      <w:r>
        <w:t xml:space="preserve">Proposer des recommandations de produits et détecter les risques de</w:t>
      </w:r>
      <w:r>
        <w:t xml:space="preserve"> </w:t>
      </w:r>
      <w:r>
        <w:t xml:space="preserve">perte de clients grâce à l’IA.</w:t>
      </w:r>
    </w:p>
    <w:p>
      <w:pPr>
        <w:numPr>
          <w:ilvl w:val="0"/>
          <w:numId w:val="1004"/>
        </w:numPr>
      </w:pPr>
      <w:r>
        <w:t xml:space="preserve">Permettre la consultation des portefeuilles, de la performance, des</w:t>
      </w:r>
      <w:r>
        <w:t xml:space="preserve"> </w:t>
      </w:r>
      <w:r>
        <w:t xml:space="preserve">gains/pertes et de la répartition des actifs.</w:t>
      </w:r>
    </w:p>
    <w:p>
      <w:pPr>
        <w:numPr>
          <w:ilvl w:val="0"/>
          <w:numId w:val="1004"/>
        </w:numPr>
      </w:pPr>
      <w:r>
        <w:t xml:space="preserve">Gérer les cotations, le passage d’ordres et le suivi des achats ou</w:t>
      </w:r>
      <w:r>
        <w:t xml:space="preserve"> </w:t>
      </w:r>
      <w:r>
        <w:t xml:space="preserve">ventes d’actions et d’obligations.</w:t>
      </w:r>
    </w:p>
    <w:bookmarkEnd w:id="38"/>
    <w:bookmarkEnd w:id="39"/>
    <w:bookmarkEnd w:id="40"/>
    <w:bookmarkStart w:id="43" w:name="démarche-méthodologique"/>
    <w:p>
      <w:pPr>
        <w:pStyle w:val="Heading2"/>
      </w:pPr>
      <w:r>
        <w:t xml:space="preserve">Démarche méthodologique</w:t>
      </w:r>
    </w:p>
    <w:p>
      <w:pPr>
        <w:pStyle w:val="FirstParagraph"/>
      </w:pPr>
      <w:r>
        <w:t xml:space="preserve">La démarche retenue est itérative et incrémentale. Ce choix est cohérent avec</w:t>
      </w:r>
      <w:r>
        <w:t xml:space="preserve"> </w:t>
      </w:r>
      <w:r>
        <w:t xml:space="preserve">la nature du projet. Dans cette section, nous allons présenter les différentes</w:t>
      </w:r>
      <w:r>
        <w:t xml:space="preserve"> </w:t>
      </w:r>
      <w:r>
        <w:t xml:space="preserve">caractéristiques du projet .</w:t>
      </w:r>
    </w:p>
    <w:bookmarkStart w:id="41" w:name="caractéristiques-du-projet"/>
    <w:p>
      <w:pPr>
        <w:pStyle w:val="Heading3"/>
      </w:pPr>
      <w:r>
        <w:t xml:space="preserve">Caractéristiques du projet</w:t>
      </w:r>
    </w:p>
    <w:p>
      <w:pPr>
        <w:pStyle w:val="FirstParagraph"/>
      </w:pPr>
      <w:r>
        <w:t xml:space="preserve">Le projet intitulé</w:t>
      </w:r>
      <w:r>
        <w:t xml:space="preserve"> </w:t>
      </w:r>
      <w:r>
        <w:rPr>
          <w:b/>
          <w:bCs/>
        </w:rPr>
        <w:t xml:space="preserve">I-SIB – Système d’Information Bancaire intelligent</w:t>
      </w:r>
      <w:r>
        <w:t xml:space="preserve"> </w:t>
      </w:r>
      <w:r>
        <w:t xml:space="preserve">est porté par l’entreprise</w:t>
      </w:r>
      <w:r>
        <w:t xml:space="preserve"> </w:t>
      </w:r>
      <w:r>
        <w:rPr>
          <w:b/>
          <w:bCs/>
        </w:rPr>
        <w:t xml:space="preserve">INNOV4AFRICA</w:t>
      </w:r>
      <w:r>
        <w:t xml:space="preserve">, avec la contribution de</w:t>
      </w:r>
      <w:r>
        <w:t xml:space="preserve"> </w:t>
      </w:r>
      <w:r>
        <w:rPr>
          <w:b/>
          <w:bCs/>
        </w:rPr>
        <w:t xml:space="preserve">Salif Biaye</w:t>
      </w:r>
      <w:r>
        <w:t xml:space="preserve">. Il s’inscrit dans un contexte de transformation numérique des systèmes bancaires, en mettant l’accent sur les modules</w:t>
      </w:r>
      <w:r>
        <w:t xml:space="preserve"> </w:t>
      </w:r>
      <w:r>
        <w:rPr>
          <w:b/>
          <w:bCs/>
        </w:rPr>
        <w:t xml:space="preserve">RELATION CLIENT</w:t>
      </w:r>
      <w:r>
        <w:t xml:space="preserve"> </w:t>
      </w:r>
      <w:r>
        <w:t xml:space="preserve">et</w:t>
      </w:r>
      <w:r>
        <w:t xml:space="preserve"> </w:t>
      </w:r>
      <w:r>
        <w:rPr>
          <w:b/>
          <w:bCs/>
        </w:rPr>
        <w:t xml:space="preserve">SGI (Société de Gestion et d’Intermédiation)</w:t>
      </w:r>
      <w:r>
        <w:t xml:space="preserve">.</w:t>
      </w:r>
    </w:p>
    <w:p>
      <w:pPr>
        <w:pStyle w:val="BodyText"/>
      </w:pPr>
      <w:r>
        <w:t xml:space="preserve">Les principaux bénéficiaires de cette solution sont les banques, les institutions de microfinance, les établissements de paiement, les SGI, ainsi que les clients finaux et les chargés de clientèle. Le produit développé est une application bancaire modulaire, intelligente, exposée via des API (</w:t>
      </w:r>
      <w:r>
        <w:rPr>
          <w:i/>
          <w:iCs/>
        </w:rPr>
        <w:t xml:space="preserve">full API</w:t>
      </w:r>
      <w:r>
        <w:t xml:space="preserve">) et reposant sur une architecture orientée microservices.</w:t>
      </w:r>
    </w:p>
    <w:p>
      <w:pPr>
        <w:pStyle w:val="BodyText"/>
      </w:pPr>
      <w:r>
        <w:t xml:space="preserve">Le client du projet est disponible pour des échanges réguliers, bien que ses besoins puissent évoluer progressivement au cours du développement. En conséquence, l’équipe projet adopte une organisation basée sur le développement par modules, avec des validations successives permettant d’ajuster les fonctionnalités en fonction des retours.</w:t>
      </w:r>
    </w:p>
    <w:p>
      <w:pPr>
        <w:pStyle w:val="BodyText"/>
      </w:pPr>
      <w:r>
        <w:t xml:space="preserve">Le projet est soumis à plusieurs contraintes majeures, notamment en matière de sécurité, de conformité réglementaire (KYC), de traçabilité des opérations, d’ergonomie des interfaces et d’intégration avec le cœur du système bancaire existant.</w:t>
      </w:r>
    </w:p>
    <w:p>
      <w:pPr>
        <w:pStyle w:val="BodyText"/>
      </w:pPr>
      <w:r>
        <w:t xml:space="preserve">Par ailleurs, plusieurs risques ont été identifiés, tels que la mauvaise compréhension des besoins métiers, la complexité liée à l’intégration avec les systèmes existants, la gestion de données incomplètes, une interprétation incorrecte des règles de conformité, ainsi qu’un risque d’adoption insuffisante par les utilisateurs finaux.</w:t>
      </w:r>
    </w:p>
    <w:p>
      <w:pPr>
        <w:pStyle w:val="BodyText"/>
      </w:pPr>
      <w:r>
        <w:t xml:space="preserve">Les résultats attendus incluent la mise en place d’un parcours client unifié, une amélioration significative de la connaissance client, un accès intégré aux services d’investissement, ainsi qu’un meilleur pilotage des activités métier. Le projet vise également à réduire les ruptures applicatives entre les différents systèmes.</w:t>
      </w:r>
    </w:p>
    <w:p>
      <w:pPr>
        <w:pStyle w:val="BodyText"/>
      </w:pPr>
      <w:r>
        <w:t xml:space="preserve">Compte tenu de ces éléments, une approche entièrement figée dès le départ apparaît inadaptée. En effet, le client n’est pas toujours en mesure de définir précisément l’ensemble des fonctionnalités attendues dès le début du projet. Ainsi, les modules</w:t>
      </w:r>
      <w:r>
        <w:t xml:space="preserve"> </w:t>
      </w:r>
      <w:r>
        <w:rPr>
          <w:b/>
          <w:bCs/>
        </w:rPr>
        <w:t xml:space="preserve">RELATION CLIENT</w:t>
      </w:r>
      <w:r>
        <w:t xml:space="preserve"> </w:t>
      </w:r>
      <w:r>
        <w:t xml:space="preserve">et</w:t>
      </w:r>
      <w:r>
        <w:t xml:space="preserve"> </w:t>
      </w:r>
      <w:r>
        <w:rPr>
          <w:b/>
          <w:bCs/>
        </w:rPr>
        <w:t xml:space="preserve">SGI</w:t>
      </w:r>
      <w:r>
        <w:t xml:space="preserve"> </w:t>
      </w:r>
      <w:r>
        <w:t xml:space="preserve">seront développés de manière itérative, à travers des versions successives, avec une validation régulière des priorités, des parcours utilisateurs et des règles métiers.</w:t>
      </w:r>
    </w:p>
    <w:bookmarkEnd w:id="41"/>
    <w:bookmarkStart w:id="42" w:name="méthodologie-de-travail"/>
    <w:p>
      <w:pPr>
        <w:pStyle w:val="Heading3"/>
      </w:pPr>
      <w:r>
        <w:t xml:space="preserve">Méthodologie de travail</w:t>
      </w:r>
    </w:p>
    <w:p>
      <w:pPr>
        <w:pStyle w:val="FirstParagraph"/>
      </w:pPr>
      <w:r>
        <w:t xml:space="preserve">La mise en œuvre de cette démarche s’organise en plusieurs étapes successives,</w:t>
      </w:r>
      <w:r>
        <w:t xml:space="preserve"> </w:t>
      </w:r>
      <w:r>
        <w:t xml:space="preserve">présentées ci-dessous.</w:t>
      </w:r>
    </w:p>
    <w:p>
      <w:pPr>
        <w:numPr>
          <w:ilvl w:val="0"/>
          <w:numId w:val="1005"/>
        </w:numPr>
      </w:pPr>
      <w:r>
        <w:rPr>
          <w:b/>
          <w:bCs/>
        </w:rPr>
        <w:t xml:space="preserve">Cadrage du besoin :</w:t>
      </w:r>
      <w:r>
        <w:t xml:space="preserve"> </w:t>
      </w:r>
      <w:r>
        <w:t xml:space="preserve">identifier le périmètre, les acteurs,</w:t>
      </w:r>
      <w:r>
        <w:t xml:space="preserve"> </w:t>
      </w:r>
      <w:r>
        <w:t xml:space="preserve">les objectifs et les contraintes.</w:t>
      </w:r>
    </w:p>
    <w:p>
      <w:pPr>
        <w:numPr>
          <w:ilvl w:val="0"/>
          <w:numId w:val="1005"/>
        </w:numPr>
      </w:pPr>
      <w:r>
        <w:rPr>
          <w:b/>
          <w:bCs/>
        </w:rPr>
        <w:t xml:space="preserve">Analyse métier :</w:t>
      </w:r>
      <w:r>
        <w:t xml:space="preserve"> </w:t>
      </w:r>
      <w:r>
        <w:t xml:space="preserve">étudier les processus de relation client,</w:t>
      </w:r>
      <w:r>
        <w:t xml:space="preserve"> </w:t>
      </w:r>
      <w:r>
        <w:t xml:space="preserve">de KYC, de gestion de portefeuille et de passage d’ordres.</w:t>
      </w:r>
    </w:p>
    <w:p>
      <w:pPr>
        <w:numPr>
          <w:ilvl w:val="0"/>
          <w:numId w:val="1005"/>
        </w:numPr>
      </w:pPr>
      <w:r>
        <w:rPr>
          <w:b/>
          <w:bCs/>
        </w:rPr>
        <w:t xml:space="preserve">Modélisation fonctionnelle :</w:t>
      </w:r>
      <w:r>
        <w:t xml:space="preserve"> </w:t>
      </w:r>
      <w:r>
        <w:t xml:space="preserve">représenter les fonctionnalités,</w:t>
      </w:r>
      <w:r>
        <w:t xml:space="preserve"> </w:t>
      </w:r>
      <w:r>
        <w:t xml:space="preserve">les interactions entre acteurs et les flux de données du système.</w:t>
      </w:r>
      <w:r>
        <w:t xml:space="preserve"> </w:t>
      </w:r>
      <w:r>
        <w:t xml:space="preserve">Le langage</w:t>
      </w:r>
      <w:r>
        <w:t xml:space="preserve"> </w:t>
      </w:r>
      <w:r>
        <w:rPr>
          <w:b/>
          <w:bCs/>
        </w:rPr>
        <w:t xml:space="preserve">UML</w:t>
      </w:r>
      <w:r>
        <w:t xml:space="preserve"> </w:t>
      </w:r>
      <w:r>
        <w:t xml:space="preserve">est mobilisé comme support de modélisation</w:t>
      </w:r>
      <w:r>
        <w:t xml:space="preserve"> </w:t>
      </w:r>
      <w:r>
        <w:t xml:space="preserve">pour illustrer ces différents aspects.</w:t>
      </w:r>
    </w:p>
    <w:p>
      <w:pPr>
        <w:numPr>
          <w:ilvl w:val="0"/>
          <w:numId w:val="1005"/>
        </w:numPr>
      </w:pPr>
      <w:r>
        <w:rPr>
          <w:b/>
          <w:bCs/>
        </w:rPr>
        <w:t xml:space="preserve">Conception applicative :</w:t>
      </w:r>
      <w:r>
        <w:t xml:space="preserve"> </w:t>
      </w:r>
      <w:r>
        <w:t xml:space="preserve">définir les modules, les</w:t>
      </w:r>
      <w:r>
        <w:t xml:space="preserve"> </w:t>
      </w:r>
      <w:r>
        <w:t xml:space="preserve">microservices, les API, les rôles et les principales règles de gestion.</w:t>
      </w:r>
    </w:p>
    <w:p>
      <w:pPr>
        <w:numPr>
          <w:ilvl w:val="0"/>
          <w:numId w:val="1005"/>
        </w:numPr>
      </w:pPr>
      <w:r>
        <w:rPr>
          <w:b/>
          <w:bCs/>
        </w:rPr>
        <w:t xml:space="preserve">Prototypage :</w:t>
      </w:r>
      <w:r>
        <w:t xml:space="preserve"> </w:t>
      </w:r>
      <w:r>
        <w:t xml:space="preserve">réaliser des maquettes ou écrans clés pour</w:t>
      </w:r>
      <w:r>
        <w:t xml:space="preserve"> </w:t>
      </w:r>
      <w:r>
        <w:t xml:space="preserve">valider l’expérience utilisateur.</w:t>
      </w:r>
    </w:p>
    <w:p>
      <w:pPr>
        <w:numPr>
          <w:ilvl w:val="0"/>
          <w:numId w:val="1005"/>
        </w:numPr>
      </w:pPr>
      <w:r>
        <w:rPr>
          <w:b/>
          <w:bCs/>
        </w:rPr>
        <w:t xml:space="preserve">Validation itérative :</w:t>
      </w:r>
      <w:r>
        <w:t xml:space="preserve"> </w:t>
      </w:r>
      <w:r>
        <w:t xml:space="preserve">recueillir les retours, ajuster le</w:t>
      </w:r>
      <w:r>
        <w:t xml:space="preserve"> </w:t>
      </w:r>
      <w:r>
        <w:t xml:space="preserve">backlog et prioriser les fonctionnalités.</w:t>
      </w:r>
    </w:p>
    <w:p>
      <w:pPr>
        <w:numPr>
          <w:ilvl w:val="0"/>
          <w:numId w:val="1005"/>
        </w:numPr>
      </w:pPr>
      <w:r>
        <w:rPr>
          <w:b/>
          <w:bCs/>
        </w:rPr>
        <w:t xml:space="preserve">Développement et intégration :</w:t>
      </w:r>
      <w:r>
        <w:t xml:space="preserve"> </w:t>
      </w:r>
      <w:r>
        <w:t xml:space="preserve">construire les fonctionnalités</w:t>
      </w:r>
      <w:r>
        <w:t xml:space="preserve"> </w:t>
      </w:r>
      <w:r>
        <w:t xml:space="preserve">par lots cohérents et les connecter au reste de I-SIB.</w:t>
      </w:r>
    </w:p>
    <w:p>
      <w:pPr>
        <w:numPr>
          <w:ilvl w:val="0"/>
          <w:numId w:val="1005"/>
        </w:numPr>
      </w:pPr>
      <w:r>
        <w:rPr>
          <w:b/>
          <w:bCs/>
        </w:rPr>
        <w:t xml:space="preserve">Tests et recette :</w:t>
      </w:r>
      <w:r>
        <w:t xml:space="preserve"> </w:t>
      </w:r>
      <w:r>
        <w:t xml:space="preserve">vérifier la conformité fonctionnelle, la</w:t>
      </w:r>
      <w:r>
        <w:t xml:space="preserve"> </w:t>
      </w:r>
      <w:r>
        <w:t xml:space="preserve">sécurité, la performance et l’expérience utilisateur.</w:t>
      </w:r>
    </w:p>
    <w:p>
      <w:pPr>
        <w:numPr>
          <w:ilvl w:val="0"/>
          <w:numId w:val="1005"/>
        </w:numPr>
      </w:pPr>
      <w:r>
        <w:rPr>
          <w:b/>
          <w:bCs/>
        </w:rPr>
        <w:t xml:space="preserve">Déploiement progressif :</w:t>
      </w:r>
      <w:r>
        <w:t xml:space="preserve"> </w:t>
      </w:r>
      <w:r>
        <w:t xml:space="preserve">livrer par étapes afin de limiter</w:t>
      </w:r>
      <w:r>
        <w:t xml:space="preserve"> </w:t>
      </w:r>
      <w:r>
        <w:t xml:space="preserve">les risques et faciliter l’appropriation.</w:t>
      </w:r>
    </w:p>
    <w:bookmarkEnd w:id="42"/>
    <w:bookmarkEnd w:id="43"/>
    <w:bookmarkStart w:id="44" w:name="conclusion"/>
    <w:p>
      <w:pPr>
        <w:pStyle w:val="Heading2"/>
      </w:pPr>
      <w:r>
        <w:t xml:space="preserve">Conclusion</w:t>
      </w:r>
    </w:p>
    <w:p>
      <w:pPr>
        <w:pStyle w:val="FirstParagraph"/>
      </w:pPr>
      <w:r>
        <w:t xml:space="preserve">Ce chapitre a permis de poser les bases du projet en présentant le contexte global dans lequel il s’inscrit, ainsi que les enjeux liés à la transformation des systèmes d’information bancaires. La description de la structure d’accueil a offert une meilleure compréhension de l’environnement professionnel, tandis que l’analyse du sujet a mis en évidence les limites des solutions existantes et la nécessité d’une approche intégrée.</w:t>
      </w:r>
    </w:p>
    <w:p>
      <w:pPr>
        <w:pStyle w:val="BodyText"/>
      </w:pPr>
      <w:r>
        <w:t xml:space="preserve">La problématique identifiée souligne l’importance de rapprocher les modules de relation client et de gestion d’investissement afin d’améliorer l’expérience utilisateur et le pilotage des activités. Les objectifs définis traduisent cette volonté à travers la mise en place d’une plateforme unifiée, intelligente et orientée données.</w:t>
      </w:r>
    </w:p>
    <w:p>
      <w:pPr>
        <w:pStyle w:val="BodyText"/>
      </w:pPr>
      <w:r>
        <w:t xml:space="preserve">Enfin, la démarche méthodologique retenue, basée sur une approche itérative et incrémentale, apparaît adaptée aux contraintes du projet et aux besoins évolutifs du client. Elle permet de garantir une meilleure maîtrise des risques, une validation continue des fonctionnalités et une adéquation progressive entre la solution développée et les attentes métiers.</w:t>
      </w:r>
    </w:p>
    <w:p>
      <w:pPr>
        <w:pStyle w:val="BodyText"/>
      </w:pPr>
      <w:r>
        <w:t xml:space="preserve">Le chapitre suivant sera consacré à l’analyse détaillée des besoins et à la modélisation fonctionnelle du système proposé.</w:t>
      </w:r>
    </w:p>
    <w:bookmarkEnd w:id="44"/>
    <w:bookmarkEnd w:id="45"/>
    <w:bookmarkStart w:id="61" w:name="Xee3aea007035324d5404fd638cccc6e9d66e94b"/>
    <w:p>
      <w:pPr>
        <w:pStyle w:val="Heading1"/>
      </w:pPr>
      <w:r>
        <w:t xml:space="preserve">Analyse fonctionnelle et non fonctionnelle des besoins</w:t>
      </w:r>
    </w:p>
    <w:bookmarkStart w:id="46" w:name="introduction-1"/>
    <w:p>
      <w:pPr>
        <w:pStyle w:val="Heading2"/>
      </w:pPr>
      <w:r>
        <w:t xml:space="preserve">Introduction</w:t>
      </w:r>
    </w:p>
    <w:p>
      <w:pPr>
        <w:pStyle w:val="FirstParagraph"/>
      </w:pPr>
      <w:r>
        <w:t xml:space="preserve">Après la présentation du cadre général du projet, ce deuxième chapitre a pour objectif</w:t>
      </w:r>
      <w:r>
        <w:t xml:space="preserve"> </w:t>
      </w:r>
      <w:r>
        <w:t xml:space="preserve">d’analyser les besoins auxquels doit répondre le futur système I-SIB dans le périmètre des</w:t>
      </w:r>
      <w:r>
        <w:t xml:space="preserve"> </w:t>
      </w:r>
      <w:r>
        <w:t xml:space="preserve">modules Relation Client et SGI. Il s’agit de préciser les utilisateurs concernés, le rôle</w:t>
      </w:r>
      <w:r>
        <w:t xml:space="preserve"> </w:t>
      </w:r>
      <w:r>
        <w:t xml:space="preserve">attendu du système, les fonctionnalités nécessaires et les exigences de qualité qui doivent</w:t>
      </w:r>
      <w:r>
        <w:t xml:space="preserve"> </w:t>
      </w:r>
      <w:r>
        <w:t xml:space="preserve">guider la conception. Cette étape est essentielle, car elle permet de transformer la</w:t>
      </w:r>
      <w:r>
        <w:t xml:space="preserve"> </w:t>
      </w:r>
      <w:r>
        <w:t xml:space="preserve">problématique générale en besoins concrets et exploitables pour la suite du projet.</w:t>
      </w:r>
    </w:p>
    <w:p>
      <w:pPr>
        <w:pStyle w:val="BodyText"/>
      </w:pPr>
      <w:r>
        <w:t xml:space="preserve">Le système futur doit résoudre une difficulté centrale : la séparation entre la gestion de</w:t>
      </w:r>
      <w:r>
        <w:t xml:space="preserve"> </w:t>
      </w:r>
      <w:r>
        <w:t xml:space="preserve">la relation client et les services d’investissement. Dans de nombreux environnements, les</w:t>
      </w:r>
      <w:r>
        <w:t xml:space="preserve"> </w:t>
      </w:r>
      <w:r>
        <w:t xml:space="preserve">informations clients, les interactions commerciales, les données KYC, les comptes bancaires,</w:t>
      </w:r>
      <w:r>
        <w:t xml:space="preserve"> </w:t>
      </w:r>
      <w:r>
        <w:t xml:space="preserve">les portefeuilles-titres et les ordres de bourse sont traités dans des outils différents.</w:t>
      </w:r>
      <w:r>
        <w:t xml:space="preserve"> </w:t>
      </w:r>
      <w:r>
        <w:t xml:space="preserve">Cette fragmentation entraîne une perte de visibilité pour les équipes internes, notamment</w:t>
      </w:r>
      <w:r>
        <w:t xml:space="preserve"> </w:t>
      </w:r>
      <w:r>
        <w:t xml:space="preserve">les chargés de clientèle et les équipes SGI, ainsi qu’une dégradation de l’expérience</w:t>
      </w:r>
      <w:r>
        <w:t xml:space="preserve"> </w:t>
      </w:r>
      <w:r>
        <w:t xml:space="preserve">client. L’analyse suivante vise donc à définir une solution capable de centraliser et</w:t>
      </w:r>
      <w:r>
        <w:t xml:space="preserve"> </w:t>
      </w:r>
      <w:r>
        <w:t xml:space="preserve">d’unifier ces informations.</w:t>
      </w:r>
    </w:p>
    <w:bookmarkEnd w:id="46"/>
    <w:bookmarkStart w:id="47" w:name="rôle-du-système-et-acteurs"/>
    <w:p>
      <w:pPr>
        <w:pStyle w:val="Heading2"/>
      </w:pPr>
      <w:r>
        <w:t xml:space="preserve">Rôle du système et acteurs</w:t>
      </w:r>
    </w:p>
    <w:p>
      <w:pPr>
        <w:pStyle w:val="FirstParagraph"/>
      </w:pPr>
      <w:r>
        <w:t xml:space="preserve">Le rôle principal du système futur est d’offrir une plateforme bancaire intelligente qui</w:t>
      </w:r>
      <w:r>
        <w:t xml:space="preserve"> </w:t>
      </w:r>
      <w:r>
        <w:t xml:space="preserve">centralise la connaissance client et intègre les services SGI dans un même environnement.</w:t>
      </w:r>
      <w:r>
        <w:t xml:space="preserve"> </w:t>
      </w:r>
      <w:r>
        <w:t xml:space="preserve">Il doit organiser l’information de façon à assurer une continuité entre les parcours</w:t>
      </w:r>
      <w:r>
        <w:t xml:space="preserve"> </w:t>
      </w:r>
      <w:r>
        <w:t xml:space="preserve">bancaires et les parcours d’investissement, en répondant aux attentes spécifiques de chaque</w:t>
      </w:r>
      <w:r>
        <w:t xml:space="preserve"> </w:t>
      </w:r>
      <w:r>
        <w:t xml:space="preserve">type d’utilisateur.</w:t>
      </w:r>
    </w:p>
    <w:p>
      <w:pPr>
        <w:pStyle w:val="BodyText"/>
      </w:pPr>
      <w:r>
        <w:t xml:space="preserve">Trois acteurs principaux ont été identifiés dans le périmètre de ce chapitre. Leurs</w:t>
      </w:r>
      <w:r>
        <w:t xml:space="preserve"> </w:t>
      </w:r>
      <w:r>
        <w:t xml:space="preserve">objectifs sont distincts mais complémentaires, et leur coexistence dans un même système</w:t>
      </w:r>
      <w:r>
        <w:t xml:space="preserve"> </w:t>
      </w:r>
      <w:r>
        <w:t xml:space="preserve">justifie la nécessité d’une architecture unifiée.</w:t>
      </w:r>
    </w:p>
    <w:p>
      <w:pPr>
        <w:pStyle w:val="BodyText"/>
      </w:pPr>
      <w:r>
        <w:t xml:space="preserve">Le</w:t>
      </w:r>
      <w:r>
        <w:t xml:space="preserve"> </w:t>
      </w:r>
      <w:r>
        <w:rPr>
          <w:b/>
          <w:bCs/>
        </w:rPr>
        <w:t xml:space="preserve">client</w:t>
      </w:r>
      <w:r>
        <w:t xml:space="preserve"> </w:t>
      </w:r>
      <w:r>
        <w:t xml:space="preserve">est l’utilisateur final des services bancaires et d’investissement. Il</w:t>
      </w:r>
      <w:r>
        <w:t xml:space="preserve"> </w:t>
      </w:r>
      <w:r>
        <w:t xml:space="preserve">est au centre du dispositif : le système doit lui permettre d’accéder à ses informations</w:t>
      </w:r>
      <w:r>
        <w:t xml:space="preserve"> </w:t>
      </w:r>
      <w:r>
        <w:t xml:space="preserve">personnelles, à ses comptes, à ses produits bancaires et à son portefeuille</w:t>
      </w:r>
      <w:r>
        <w:t xml:space="preserve"> </w:t>
      </w:r>
      <w:r>
        <w:t xml:space="preserve">d’investissement. Il doit également pouvoir suivre la performance de ses actifs, consulter</w:t>
      </w:r>
      <w:r>
        <w:t xml:space="preserve"> </w:t>
      </w:r>
      <w:r>
        <w:t xml:space="preserve">les cotations et soumettre des demandes d’achat ou de vente de titres sans sortir de</w:t>
      </w:r>
      <w:r>
        <w:t xml:space="preserve"> </w:t>
      </w:r>
      <w:r>
        <w:t xml:space="preserve">l’écosystème bancaire.</w:t>
      </w:r>
    </w:p>
    <w:p>
      <w:pPr>
        <w:pStyle w:val="BodyText"/>
      </w:pPr>
      <w:r>
        <w:t xml:space="preserve">Le</w:t>
      </w:r>
      <w:r>
        <w:t xml:space="preserve"> </w:t>
      </w:r>
      <w:r>
        <w:rPr>
          <w:b/>
          <w:bCs/>
        </w:rPr>
        <w:t xml:space="preserve">chargé de clientèle</w:t>
      </w:r>
      <w:r>
        <w:t xml:space="preserve"> </w:t>
      </w:r>
      <w:r>
        <w:t xml:space="preserve">est un utilisateur interne chargé du suivi commercial et</w:t>
      </w:r>
      <w:r>
        <w:t xml:space="preserve"> </w:t>
      </w:r>
      <w:r>
        <w:t xml:space="preserve">de l’accompagnement des clients. Il attend du système une vue complète sur chaque client,</w:t>
      </w:r>
      <w:r>
        <w:t xml:space="preserve"> </w:t>
      </w:r>
      <w:r>
        <w:t xml:space="preserve">la possibilité de suivre les prospects dans un pipeline structuré, de recevoir des alertes</w:t>
      </w:r>
      <w:r>
        <w:t xml:space="preserve"> </w:t>
      </w:r>
      <w:r>
        <w:t xml:space="preserve">pertinentes, de prioriser ses actions commerciales et de proposer des produits adaptés à</w:t>
      </w:r>
      <w:r>
        <w:t xml:space="preserve"> </w:t>
      </w:r>
      <w:r>
        <w:t xml:space="preserve">chaque profil.</w:t>
      </w:r>
    </w:p>
    <w:p>
      <w:pPr>
        <w:pStyle w:val="BodyText"/>
      </w:pPr>
      <w:r>
        <w:t xml:space="preserve">L’</w:t>
      </w:r>
      <w:r>
        <w:rPr>
          <w:b/>
          <w:bCs/>
        </w:rPr>
        <w:t xml:space="preserve">équipe SGI</w:t>
      </w:r>
      <w:r>
        <w:t xml:space="preserve"> </w:t>
      </w:r>
      <w:r>
        <w:t xml:space="preserve">est un utilisateur interne spécialisé dans les opérations sur titres</w:t>
      </w:r>
      <w:r>
        <w:t xml:space="preserve"> </w:t>
      </w:r>
      <w:r>
        <w:t xml:space="preserve">et la gestion de portefeuille. Elle attend du système la capacité de superviser les</w:t>
      </w:r>
      <w:r>
        <w:t xml:space="preserve"> </w:t>
      </w:r>
      <w:r>
        <w:t xml:space="preserve">portefeuilles clients, de traiter les ordres de bourse, d’analyser les performances et</w:t>
      </w:r>
      <w:r>
        <w:t xml:space="preserve"> </w:t>
      </w:r>
      <w:r>
        <w:t xml:space="preserve">d’exploiter les cotations pour accompagner les décisions d’investissement.</w:t>
      </w:r>
    </w:p>
    <w:p>
      <w:pPr>
        <w:pStyle w:val="BodyText"/>
      </w:pPr>
      <w:r>
        <w:t xml:space="preserve">Ainsi, le système futur constitue un point de convergence entre deux dimensions : la</w:t>
      </w:r>
      <w:r>
        <w:t xml:space="preserve"> </w:t>
      </w:r>
      <w:r>
        <w:t xml:space="preserve">relation client et l’investissement. Il doit garantir que chaque acteur accède uniquement</w:t>
      </w:r>
      <w:r>
        <w:t xml:space="preserve"> </w:t>
      </w:r>
      <w:r>
        <w:t xml:space="preserve">aux informations et aux actions correspondant à son rôle, tout en assurant la cohérence</w:t>
      </w:r>
      <w:r>
        <w:t xml:space="preserve"> </w:t>
      </w:r>
      <w:r>
        <w:t xml:space="preserve">globale des données manipulées.</w:t>
      </w:r>
    </w:p>
    <w:bookmarkEnd w:id="47"/>
    <w:bookmarkStart w:id="58" w:name="fonctionnalités-du-système"/>
    <w:p>
      <w:pPr>
        <w:pStyle w:val="Heading2"/>
      </w:pPr>
      <w:r>
        <w:t xml:space="preserve">Fonctionnalités du système</w:t>
      </w:r>
    </w:p>
    <w:p>
      <w:pPr>
        <w:pStyle w:val="FirstParagraph"/>
      </w:pPr>
      <w:r>
        <w:t xml:space="preserve">Le système I-SIB est structuré autour de deux modules fonctionnels complémentaires. Le</w:t>
      </w:r>
      <w:r>
        <w:t xml:space="preserve"> </w:t>
      </w:r>
      <w:r>
        <w:t xml:space="preserve">module</w:t>
      </w:r>
      <w:r>
        <w:t xml:space="preserve"> </w:t>
      </w:r>
      <w:r>
        <w:rPr>
          <w:b/>
          <w:bCs/>
        </w:rPr>
        <w:t xml:space="preserve">Relation Client</w:t>
      </w:r>
      <w:r>
        <w:t xml:space="preserve"> </w:t>
      </w:r>
      <w:r>
        <w:t xml:space="preserve">est dédié à la centralisation de la connaissance client et</w:t>
      </w:r>
      <w:r>
        <w:t xml:space="preserve"> </w:t>
      </w:r>
      <w:r>
        <w:t xml:space="preserve">au pilotage commercial. Le module</w:t>
      </w:r>
      <w:r>
        <w:t xml:space="preserve"> </w:t>
      </w:r>
      <w:r>
        <w:rPr>
          <w:b/>
          <w:bCs/>
        </w:rPr>
        <w:t xml:space="preserve">SGI</w:t>
      </w:r>
      <w:r>
        <w:t xml:space="preserve"> </w:t>
      </w:r>
      <w:r>
        <w:t xml:space="preserve">(Société de Gestion et d’Intermédiation)</w:t>
      </w:r>
      <w:r>
        <w:t xml:space="preserve"> </w:t>
      </w:r>
      <w:r>
        <w:t xml:space="preserve">couvre les services d’investissement, du suivi de portefeuille au traitement des ordres de</w:t>
      </w:r>
      <w:r>
        <w:t xml:space="preserve"> </w:t>
      </w:r>
      <w:r>
        <w:t xml:space="preserve">bourse. La présente section décrit les fonctionnalités offertes par chacun de ces modules,</w:t>
      </w:r>
      <w:r>
        <w:t xml:space="preserve"> </w:t>
      </w:r>
      <w:r>
        <w:t xml:space="preserve">illustrées par un diagramme représentant la liste des fonctionnalités, puis détaillées</w:t>
      </w:r>
      <w:r>
        <w:t xml:space="preserve"> </w:t>
      </w:r>
      <w:r>
        <w:t xml:space="preserve">individuellement sous forme de fiches textuelles accompagnées de leurs représentations</w:t>
      </w:r>
      <w:r>
        <w:t xml:space="preserve"> </w:t>
      </w:r>
      <w:r>
        <w:t xml:space="preserve">graphiques.</w:t>
      </w:r>
    </w:p>
    <w:bookmarkStart w:id="52" w:name="module-relation-client"/>
    <w:p>
      <w:pPr>
        <w:pStyle w:val="Heading3"/>
      </w:pPr>
      <w:r>
        <w:t xml:space="preserve">Module Relation Client</w:t>
      </w:r>
    </w:p>
    <w:p>
      <w:pPr>
        <w:pStyle w:val="FirstParagraph"/>
      </w:pPr>
      <w:r>
        <w:t xml:space="preserve">Le module Relation Client regroupe l’ensemble des fonctionnalités permettant de centraliser</w:t>
      </w:r>
      <w:r>
        <w:t xml:space="preserve"> </w:t>
      </w:r>
      <w:r>
        <w:t xml:space="preserve">la connaissance client, de structurer le suivi commercial, d’assurer la conformité</w:t>
      </w:r>
      <w:r>
        <w:t xml:space="preserve"> </w:t>
      </w:r>
      <w:r>
        <w:t xml:space="preserve">réglementaire et de tracer les échanges. La figure </w:t>
      </w:r>
      <w:hyperlink w:anchor="fig:fonctionnalites_rc">
        <w:r>
          <w:rPr>
            <w:rStyle w:val="Hyperlink"/>
          </w:rPr>
          <w:t xml:space="preserve">2.1</w:t>
        </w:r>
      </w:hyperlink>
      <w:r>
        <w:t xml:space="preserve"> </w:t>
      </w:r>
      <w:r>
        <w:t xml:space="preserve">présente la liste de ces fonctionnalités à travers une représentation mettant en évidence les interactions entre les acteurs et le système.</w:t>
      </w:r>
    </w:p>
    <w:bookmarkStart w:id="48" w:name="fig:fonctionnalites_rc"/>
    <w:tbl>
      <w:tblPr>
        <w:tblStyle w:val="FigureTable"/>
        <w:tblW w:type="auto" w:w="0"/>
        <w:jc w:val="center"/>
        <w:tblLook w:firstRow="0" w:lastRow="0" w:firstColumn="0" w:lastColumn="0"/>
      </w:tblPr>
      <w:tblGrid/>
    </w:tbl>
    <w:p>
      <w:pPr>
        <w:pStyle w:val="ImageCaption"/>
      </w:pPr>
      <w:r>
        <w:t xml:space="preserve">Liste des fonctionnalités du module Relation Client</w:t>
      </w:r>
    </w:p>
    <w:bookmarkEnd w:id="48"/>
    <w:p>
      <w:pPr>
        <w:pStyle w:val="BodyText"/>
      </w:pPr>
      <w:r>
        <w:t xml:space="preserve">Dans la suite, nous allons détailler la fonctionnalité création d’un prospect.</w:t>
      </w:r>
    </w:p>
    <w:bookmarkStart w:id="51" w:name="création-dun-prospect"/>
    <w:p>
      <w:pPr>
        <w:pStyle w:val="Heading4"/>
      </w:pPr>
      <w:r>
        <w:t xml:space="preserve">Création d’un prospect</w:t>
      </w:r>
    </w:p>
    <w:p>
      <w:pPr>
        <w:pStyle w:val="FirstParagraph"/>
      </w:pPr>
      <w:r>
        <w:t xml:space="preserve">La création d’un prospect constitue le point d’entrée du pipeline commercial : le chargé</w:t>
      </w:r>
      <w:r>
        <w:t xml:space="preserve"> </w:t>
      </w:r>
      <w:r>
        <w:t xml:space="preserve">de clientèle enregistre un nouveau contact, que le système positionne au stade initial et</w:t>
      </w:r>
      <w:r>
        <w:t xml:space="preserve"> </w:t>
      </w:r>
      <w:r>
        <w:t xml:space="preserve">enrichit automatiquement d’un score de conversion calculé par intelligence artificielle.</w:t>
      </w:r>
      <w:r>
        <w:t xml:space="preserve"> </w:t>
      </w:r>
      <w:r>
        <w:t xml:space="preserve">La fiche </w:t>
      </w:r>
      <w:hyperlink w:anchor="tab:rc_creation_prospect">
        <w:r>
          <w:rPr>
            <w:rStyle w:val="Hyperlink"/>
          </w:rPr>
          <w:t xml:space="preserve">2.1</w:t>
        </w:r>
      </w:hyperlink>
      <w:r>
        <w:t xml:space="preserve"> </w:t>
      </w:r>
      <w:r>
        <w:t xml:space="preserve">en présente la description détaillée.</w:t>
      </w:r>
    </w:p>
    <w:bookmarkStart w:id="49" w:name="tab:rc_creation_prospect"/>
    <w:p>
      <w:pPr>
        <w:pStyle w:val="TableCaption"/>
      </w:pPr>
      <w:r>
        <w:t xml:space="preserve">Fiche descriptive – Création d’un prospect</w:t>
      </w:r>
    </w:p>
    <w:tbl>
      <w:tblPr>
        <w:tblStyle w:val="Table"/>
        <w:tblW w:type="auto" w:w="0"/>
        <w:tblLook w:firstRow="1" w:lastRow="0" w:firstColumn="0" w:lastColumn="0" w:noHBand="0" w:noVBand="0" w:val="0020"/>
        <w:tblCaption w:val="Fiche descriptive – Création d’un prospect"/>
      </w:tblPr>
      <w:tblGrid>
        <w:gridCol w:w="3960"/>
        <w:gridCol w:w="3960"/>
      </w:tblGrid>
      <w:tr>
        <w:trPr>
          <w:tblHeader w:val="on"/>
        </w:trPr>
        <w:tc>
          <w:tcPr/>
          <w:p>
            <w:pPr>
              <w:pStyle w:val="Compact"/>
              <w:jc w:val="left"/>
            </w:pPr>
            <w:r>
              <w:rPr>
                <w:b/>
                <w:bCs/>
              </w:rPr>
              <w:t xml:space="preserve">Acteurs</w:t>
            </w:r>
          </w:p>
        </w:tc>
        <w:tc>
          <w:tcPr/>
          <w:p>
            <w:pPr>
              <w:pStyle w:val="Compact"/>
              <w:jc w:val="left"/>
            </w:pPr>
            <w:r>
              <w:t xml:space="preserve">Chargé de clientèle</w:t>
            </w:r>
          </w:p>
        </w:tc>
      </w:tr>
      <w:tr>
        <w:tc>
          <w:tcPr/>
          <w:p>
            <w:pPr>
              <w:pStyle w:val="Compact"/>
              <w:jc w:val="left"/>
            </w:pPr>
            <w:r>
              <w:rPr>
                <w:b/>
                <w:bCs/>
              </w:rPr>
              <w:t xml:space="preserve">Préconditions</w:t>
            </w:r>
          </w:p>
        </w:tc>
        <w:tc>
          <w:tcPr/>
          <w:p>
            <w:pPr>
              <w:numPr>
                <w:ilvl w:val="0"/>
                <w:numId w:val="1006"/>
              </w:numPr>
              <w:jc w:val="left"/>
            </w:pPr>
            <w:r>
              <w:t xml:space="preserve">L’utilisateur est authentifié avec le rôle</w:t>
            </w:r>
            <w:r>
              <w:t xml:space="preserve"> </w:t>
            </w:r>
            <w:r>
              <w:rPr>
                <w:i/>
                <w:iCs/>
              </w:rPr>
              <w:t xml:space="preserve">chargé de clientèle</w:t>
            </w:r>
          </w:p>
          <w:p>
            <w:pPr>
              <w:numPr>
                <w:ilvl w:val="0"/>
                <w:numId w:val="1006"/>
              </w:numPr>
              <w:jc w:val="left"/>
            </w:pPr>
            <w:r>
              <w:t xml:space="preserve">Le module de gestion des prospects est accessible</w:t>
            </w:r>
          </w:p>
        </w:tc>
      </w:tr>
      <w:tr>
        <w:tc>
          <w:tcPr/>
          <w:p>
            <w:pPr>
              <w:pStyle w:val="Compact"/>
              <w:jc w:val="left"/>
            </w:pPr>
            <w:r>
              <w:rPr>
                <w:b/>
                <w:bCs/>
              </w:rPr>
              <w:t xml:space="preserve">Scénario nominal</w:t>
            </w:r>
          </w:p>
        </w:tc>
        <w:tc>
          <w:tcPr/>
          <w:p>
            <w:pPr>
              <w:numPr>
                <w:ilvl w:val="0"/>
                <w:numId w:val="1007"/>
              </w:numPr>
              <w:jc w:val="left"/>
            </w:pPr>
            <w:r>
              <w:t xml:space="preserve">Le chargé de clientèle saisit les informations du prospect</w:t>
            </w:r>
            <w:r>
              <w:t xml:space="preserve"> </w:t>
            </w:r>
            <w:r>
              <w:t xml:space="preserve">(nom, prénom, email, téléphone, source ; éventuellement société,</w:t>
            </w:r>
            <w:r>
              <w:t xml:space="preserve"> </w:t>
            </w:r>
            <w:r>
              <w:t xml:space="preserve">valeur estimée, produits d’intérêt)</w:t>
            </w:r>
          </w:p>
          <w:p>
            <w:pPr>
              <w:numPr>
                <w:ilvl w:val="0"/>
                <w:numId w:val="1007"/>
              </w:numPr>
              <w:jc w:val="left"/>
            </w:pPr>
            <w:r>
              <w:t xml:space="preserve">Le système vérifie que l’email n’est pas déjà associé à un</w:t>
            </w:r>
            <w:r>
              <w:t xml:space="preserve"> </w:t>
            </w:r>
            <w:r>
              <w:t xml:space="preserve">prospect existant</w:t>
            </w:r>
          </w:p>
          <w:p>
            <w:pPr>
              <w:numPr>
                <w:ilvl w:val="0"/>
                <w:numId w:val="1007"/>
              </w:numPr>
              <w:jc w:val="left"/>
            </w:pPr>
            <w:r>
              <w:t xml:space="preserve">Le système enregistre le prospect au stade initial</w:t>
            </w:r>
            <w:r>
              <w:t xml:space="preserve"> </w:t>
            </w:r>
            <w:r>
              <w:rPr>
                <w:i/>
                <w:iCs/>
              </w:rPr>
              <w:t xml:space="preserve">LEAD</w:t>
            </w:r>
            <w:r>
              <w:t xml:space="preserve">, l’assigne automatiquement au conseiller créateur et</w:t>
            </w:r>
            <w:r>
              <w:t xml:space="preserve"> </w:t>
            </w:r>
            <w:r>
              <w:t xml:space="preserve">lui attribue un score par défaut</w:t>
            </w:r>
          </w:p>
          <w:p>
            <w:pPr>
              <w:numPr>
                <w:ilvl w:val="0"/>
                <w:numId w:val="1007"/>
              </w:numPr>
              <w:jc w:val="left"/>
            </w:pPr>
            <w:r>
              <w:t xml:space="preserve">Le système sollicite l’API d’intelligence artificielle pour</w:t>
            </w:r>
            <w:r>
              <w:t xml:space="preserve"> </w:t>
            </w:r>
            <w:r>
              <w:t xml:space="preserve">calculer le score de conversion du prospect</w:t>
            </w:r>
          </w:p>
          <w:p>
            <w:pPr>
              <w:numPr>
                <w:ilvl w:val="0"/>
                <w:numId w:val="1007"/>
              </w:numPr>
              <w:jc w:val="left"/>
            </w:pPr>
            <w:r>
              <w:t xml:space="preserve">Le score, la probabilité de conversion et la priorité</w:t>
            </w:r>
            <w:r>
              <w:t xml:space="preserve"> </w:t>
            </w:r>
            <w:r>
              <w:t xml:space="preserve">recommandée sont appliqués au prospect</w:t>
            </w:r>
          </w:p>
          <w:p>
            <w:pPr>
              <w:numPr>
                <w:ilvl w:val="0"/>
                <w:numId w:val="1007"/>
              </w:numPr>
              <w:jc w:val="left"/>
            </w:pPr>
            <w:r>
              <w:t xml:space="preserve">Le système confirme la création et affiche la fiche du prospect</w:t>
            </w:r>
          </w:p>
        </w:tc>
      </w:tr>
      <w:tr>
        <w:tc>
          <w:tcPr/>
          <w:p>
            <w:pPr>
              <w:pStyle w:val="Compact"/>
              <w:jc w:val="left"/>
            </w:pPr>
            <w:r>
              <w:rPr>
                <w:b/>
                <w:bCs/>
              </w:rPr>
              <w:t xml:space="preserve">Scénario alternatif</w:t>
            </w:r>
          </w:p>
        </w:tc>
        <w:tc>
          <w:tcPr/>
          <w:p>
            <w:pPr>
              <w:jc w:val="left"/>
            </w:pPr>
            <w:r>
              <w:rPr>
                <w:b/>
                <w:bCs/>
              </w:rPr>
              <w:t xml:space="preserve">A1 – Email déjà existant :</w:t>
            </w:r>
            <w:r>
              <w:t xml:space="preserve"> </w:t>
            </w:r>
            <w:r>
              <w:t xml:space="preserve">le système rejette la création et</w:t>
            </w:r>
            <w:r>
              <w:t xml:space="preserve"> </w:t>
            </w:r>
            <w:r>
              <w:t xml:space="preserve">signale que l’adresse email est déjà associée à un prospect ; aucune</w:t>
            </w:r>
            <w:r>
              <w:t xml:space="preserve"> </w:t>
            </w:r>
            <w:r>
              <w:t xml:space="preserve">donnée n’est enregistrée</w:t>
            </w:r>
          </w:p>
        </w:tc>
      </w:tr>
      <w:tr>
        <w:tc>
          <w:tcPr/>
          <w:p>
            <w:pPr>
              <w:pStyle w:val="Compact"/>
              <w:jc w:val="left"/>
            </w:pPr>
            <w:r>
              <w:rPr>
                <w:b/>
                <w:bCs/>
              </w:rPr>
              <w:t xml:space="preserve">Scénario d’exception</w:t>
            </w:r>
          </w:p>
        </w:tc>
        <w:tc>
          <w:tcPr/>
          <w:p>
            <w:pPr>
              <w:pStyle w:val="Compact"/>
              <w:jc w:val="left"/>
            </w:pPr>
            <w:r>
              <w:rPr>
                <w:b/>
                <w:bCs/>
              </w:rPr>
              <w:t xml:space="preserve">E1 – API de scoring indisponible :</w:t>
            </w:r>
            <w:r>
              <w:t xml:space="preserve"> </w:t>
            </w:r>
            <w:r>
              <w:t xml:space="preserve">le calcul du score échoue ;</w:t>
            </w:r>
            <w:r>
              <w:t xml:space="preserve"> </w:t>
            </w:r>
            <w:r>
              <w:t xml:space="preserve">le système conserve le prospect avec son score par défaut et journalise</w:t>
            </w:r>
            <w:r>
              <w:t xml:space="preserve"> </w:t>
            </w:r>
            <w:r>
              <w:t xml:space="preserve">l’incident. La création du prospect reste valide</w:t>
            </w:r>
          </w:p>
        </w:tc>
      </w:tr>
      <w:tr>
        <w:tc>
          <w:tcPr/>
          <w:p>
            <w:pPr>
              <w:pStyle w:val="Compact"/>
              <w:jc w:val="left"/>
            </w:pPr>
            <w:r>
              <w:rPr>
                <w:b/>
                <w:bCs/>
              </w:rPr>
              <w:t xml:space="preserve">Postconditions</w:t>
            </w:r>
          </w:p>
        </w:tc>
        <w:tc>
          <w:tcPr/>
          <w:p>
            <w:pPr>
              <w:pStyle w:val="Compact"/>
              <w:jc w:val="left"/>
            </w:pPr>
            <w:r>
              <w:t xml:space="preserve">Le prospect est créé, rattaché au conseiller et</w:t>
            </w:r>
            <w:r>
              <w:t xml:space="preserve"> </w:t>
            </w:r>
            <w:r>
              <w:t xml:space="preserve">positionné au stade</w:t>
            </w:r>
            <w:r>
              <w:t xml:space="preserve"> </w:t>
            </w:r>
            <w:r>
              <w:rPr>
                <w:i/>
                <w:iCs/>
              </w:rPr>
              <w:t xml:space="preserve">LEAD</w:t>
            </w:r>
            <w:r>
              <w:t xml:space="preserve"> </w:t>
            </w:r>
            <w:r>
              <w:t xml:space="preserve">dans le pipeline ; un évènement</w:t>
            </w:r>
            <w:r>
              <w:t xml:space="preserve"> </w:t>
            </w:r>
            <w:r>
              <w:t xml:space="preserve">d’audit</w:t>
            </w:r>
            <w:r>
              <w:t xml:space="preserve"> </w:t>
            </w:r>
            <w:r>
              <w:rPr>
                <w:i/>
                <w:iCs/>
              </w:rPr>
              <w:t xml:space="preserve">CREATED / PROSPECT</w:t>
            </w:r>
            <w:r>
              <w:t xml:space="preserve"> </w:t>
            </w:r>
            <w:r>
              <w:t xml:space="preserve">est enregistré</w:t>
            </w:r>
          </w:p>
        </w:tc>
      </w:tr>
    </w:tbl>
    <w:bookmarkEnd w:id="49"/>
    <w:p>
      <w:pPr>
        <w:pStyle w:val="BodyText"/>
      </w:pPr>
      <w:r>
        <w:t xml:space="preserve">La figure </w:t>
      </w:r>
      <w:hyperlink w:anchor="fig:rc_prospects">
        <w:r>
          <w:rPr>
            <w:rStyle w:val="Hyperlink"/>
          </w:rPr>
          <w:t xml:space="preserve">2.2</w:t>
        </w:r>
      </w:hyperlink>
      <w:r>
        <w:t xml:space="preserve"> </w:t>
      </w:r>
      <w:r>
        <w:t xml:space="preserve">représente le déroulement de cette fonctionnalité à</w:t>
      </w:r>
      <w:r>
        <w:t xml:space="preserve"> </w:t>
      </w:r>
      <w:r>
        <w:t xml:space="preserve">travers un diagramme de séquence.</w:t>
      </w:r>
    </w:p>
    <w:bookmarkStart w:id="50" w:name="fig:rc_prospects"/>
    <w:tbl>
      <w:tblPr>
        <w:tblStyle w:val="FigureTable"/>
        <w:tblW w:type="auto" w:w="0"/>
        <w:jc w:val="center"/>
        <w:tblLook w:firstRow="0" w:lastRow="0" w:firstColumn="0" w:lastColumn="0"/>
      </w:tblPr>
      <w:tblGrid/>
    </w:tbl>
    <w:p>
      <w:pPr>
        <w:pStyle w:val="ImageCaption"/>
      </w:pPr>
      <w:r>
        <w:t xml:space="preserve">Création d’un prospect et calcul automatique de son score de conversion</w:t>
      </w:r>
    </w:p>
    <w:bookmarkEnd w:id="50"/>
    <w:bookmarkEnd w:id="51"/>
    <w:bookmarkEnd w:id="52"/>
    <w:bookmarkStart w:id="57" w:name="module-sgi"/>
    <w:p>
      <w:pPr>
        <w:pStyle w:val="Heading3"/>
      </w:pPr>
      <w:r>
        <w:t xml:space="preserve">Module SGI</w:t>
      </w:r>
    </w:p>
    <w:p>
      <w:pPr>
        <w:pStyle w:val="FirstParagraph"/>
      </w:pPr>
      <w:r>
        <w:t xml:space="preserve">Le module SGI intègre les services d’investissement au sein de la plateforme I-SIB. Il</w:t>
      </w:r>
      <w:r>
        <w:t xml:space="preserve"> </w:t>
      </w:r>
      <w:r>
        <w:t xml:space="preserve">permet au client de suivre son portefeuille et offre aux équipes SGI les outils nécessaires</w:t>
      </w:r>
      <w:r>
        <w:t xml:space="preserve"> </w:t>
      </w:r>
      <w:r>
        <w:t xml:space="preserve">pour superviser les actifs, traiter les ordres et analyser les performances. La</w:t>
      </w:r>
      <w:r>
        <w:t xml:space="preserve"> </w:t>
      </w:r>
      <w:r>
        <w:t xml:space="preserve">figure </w:t>
      </w:r>
      <w:hyperlink w:anchor="fig:fonctionnalites_sgi">
        <w:r>
          <w:rPr>
            <w:rStyle w:val="Hyperlink"/>
          </w:rPr>
          <w:t xml:space="preserve">2.3</w:t>
        </w:r>
      </w:hyperlink>
      <w:r>
        <w:t xml:space="preserve"> </w:t>
      </w:r>
      <w:r>
        <w:t xml:space="preserve">présente la liste des fonctionnalités de ce module.</w:t>
      </w:r>
    </w:p>
    <w:bookmarkStart w:id="53" w:name="fig:fonctionnalites_sgi"/>
    <w:tbl>
      <w:tblPr>
        <w:tblStyle w:val="FigureTable"/>
        <w:tblW w:type="auto" w:w="0"/>
        <w:jc w:val="center"/>
        <w:tblLook w:firstRow="0" w:lastRow="0" w:firstColumn="0" w:lastColumn="0"/>
      </w:tblPr>
      <w:tblGrid/>
    </w:tbl>
    <w:p>
      <w:pPr>
        <w:pStyle w:val="ImageCaption"/>
      </w:pPr>
      <w:r>
        <w:t xml:space="preserve">Liste des fonctionnalités du module SGI</w:t>
      </w:r>
    </w:p>
    <w:bookmarkEnd w:id="53"/>
    <w:p>
      <w:pPr>
        <w:pStyle w:val="BodyText"/>
      </w:pPr>
      <w:r>
        <w:t xml:space="preserve">Dans la suite, nous allons détailler la fonctionnalité passage d’ordres.</w:t>
      </w:r>
    </w:p>
    <w:bookmarkStart w:id="56" w:name="passage-dordres"/>
    <w:p>
      <w:pPr>
        <w:pStyle w:val="Heading4"/>
      </w:pPr>
      <w:r>
        <w:t xml:space="preserve">Passage d’ordres</w:t>
      </w:r>
    </w:p>
    <w:p>
      <w:pPr>
        <w:pStyle w:val="FirstParagraph"/>
      </w:pPr>
      <w:r>
        <w:t xml:space="preserve">Le passage d’ordres constitue le lien opérationnel entre le client et l’équipe SGI. Il</w:t>
      </w:r>
      <w:r>
        <w:t xml:space="preserve"> </w:t>
      </w:r>
      <w:r>
        <w:t xml:space="preserve">permet au client d’exprimer une intention d’achat ou de vente, et à l’équipe SGI de</w:t>
      </w:r>
      <w:r>
        <w:t xml:space="preserve"> </w:t>
      </w:r>
      <w:r>
        <w:t xml:space="preserve">contrôler, valider ou rejeter la demande selon les règles métier en vigueur. La</w:t>
      </w:r>
      <w:r>
        <w:t xml:space="preserve"> </w:t>
      </w:r>
      <w:r>
        <w:t xml:space="preserve">fiche </w:t>
      </w:r>
      <w:hyperlink w:anchor="tab:sgi_ordres">
        <w:r>
          <w:rPr>
            <w:rStyle w:val="Hyperlink"/>
          </w:rPr>
          <w:t xml:space="preserve">2.2</w:t>
        </w:r>
      </w:hyperlink>
      <w:r>
        <w:t xml:space="preserve"> </w:t>
      </w:r>
      <w:r>
        <w:t xml:space="preserve">en présente la description détaillée.</w:t>
      </w:r>
    </w:p>
    <w:bookmarkStart w:id="54" w:name="tab:sgi_ordres"/>
    <w:p>
      <w:pPr>
        <w:pStyle w:val="TableCaption"/>
      </w:pPr>
      <w:r>
        <w:t xml:space="preserve">Fiche descriptive – Passage d’ordres</w:t>
      </w:r>
    </w:p>
    <w:tbl>
      <w:tblPr>
        <w:tblStyle w:val="Table"/>
        <w:tblW w:type="auto" w:w="0"/>
        <w:tblLook w:firstRow="1" w:lastRow="0" w:firstColumn="0" w:lastColumn="0" w:noHBand="0" w:noVBand="0" w:val="0020"/>
        <w:tblCaption w:val="Fiche descriptive – Passage d’ordres"/>
      </w:tblPr>
      <w:tblGrid>
        <w:gridCol w:w="3960"/>
        <w:gridCol w:w="3960"/>
      </w:tblGrid>
      <w:tr>
        <w:trPr>
          <w:tblHeader w:val="on"/>
        </w:trPr>
        <w:tc>
          <w:tcPr/>
          <w:p>
            <w:pPr>
              <w:pStyle w:val="Compact"/>
              <w:jc w:val="left"/>
            </w:pPr>
            <w:r>
              <w:rPr>
                <w:b/>
                <w:bCs/>
              </w:rPr>
              <w:t xml:space="preserve">Acteurs</w:t>
            </w:r>
          </w:p>
        </w:tc>
        <w:tc>
          <w:tcPr/>
          <w:p>
            <w:pPr>
              <w:pStyle w:val="Compact"/>
              <w:jc w:val="left"/>
            </w:pPr>
            <w:r>
              <w:t xml:space="preserve">Client, Équipe SGI</w:t>
            </w:r>
          </w:p>
        </w:tc>
      </w:tr>
      <w:tr>
        <w:tc>
          <w:tcPr/>
          <w:p>
            <w:pPr>
              <w:pStyle w:val="Compact"/>
              <w:jc w:val="left"/>
            </w:pPr>
            <w:r>
              <w:rPr>
                <w:b/>
                <w:bCs/>
              </w:rPr>
              <w:t xml:space="preserve">Préconditions</w:t>
            </w:r>
          </w:p>
        </w:tc>
        <w:tc>
          <w:tcPr/>
          <w:p>
            <w:pPr>
              <w:numPr>
                <w:ilvl w:val="0"/>
                <w:numId w:val="1008"/>
              </w:numPr>
              <w:jc w:val="left"/>
            </w:pPr>
            <w:r>
              <w:t xml:space="preserve">Le client est authentifié et propriétaire d’un portefeuille</w:t>
            </w:r>
          </w:p>
          <w:p>
            <w:pPr>
              <w:numPr>
                <w:ilvl w:val="0"/>
                <w:numId w:val="1008"/>
              </w:numPr>
              <w:jc w:val="left"/>
            </w:pPr>
            <w:r>
              <w:t xml:space="preserve">Le titre visé est référencé et sa cotation est disponible</w:t>
            </w:r>
          </w:p>
          <w:p>
            <w:pPr>
              <w:numPr>
                <w:ilvl w:val="0"/>
                <w:numId w:val="1008"/>
              </w:numPr>
              <w:jc w:val="left"/>
            </w:pPr>
            <w:r>
              <w:t xml:space="preserve">Le compte espèces du portefeuille est approvisionné</w:t>
            </w:r>
          </w:p>
        </w:tc>
      </w:tr>
      <w:tr>
        <w:tc>
          <w:tcPr/>
          <w:p>
            <w:pPr>
              <w:pStyle w:val="Compact"/>
              <w:jc w:val="left"/>
            </w:pPr>
            <w:r>
              <w:rPr>
                <w:b/>
                <w:bCs/>
              </w:rPr>
              <w:t xml:space="preserve">Scénario nominal</w:t>
            </w:r>
          </w:p>
        </w:tc>
        <w:tc>
          <w:tcPr/>
          <w:p>
            <w:pPr>
              <w:numPr>
                <w:ilvl w:val="0"/>
                <w:numId w:val="1009"/>
              </w:numPr>
              <w:jc w:val="left"/>
            </w:pPr>
            <w:r>
              <w:t xml:space="preserve">Le client saisit un ordre en précisant le titre, le sens</w:t>
            </w:r>
            <w:r>
              <w:t xml:space="preserve"> </w:t>
            </w:r>
            <w:r>
              <w:t xml:space="preserve">(achat ou vente) et la quantité</w:t>
            </w:r>
          </w:p>
          <w:p>
            <w:pPr>
              <w:numPr>
                <w:ilvl w:val="0"/>
                <w:numId w:val="1009"/>
              </w:numPr>
              <w:jc w:val="left"/>
            </w:pPr>
            <w:r>
              <w:t xml:space="preserve">Le système vérifie que le portefeuille appartient au client</w:t>
            </w:r>
            <w:r>
              <w:t xml:space="preserve"> </w:t>
            </w:r>
            <w:r>
              <w:t xml:space="preserve">et récupère la cotation du titre</w:t>
            </w:r>
          </w:p>
          <w:p>
            <w:pPr>
              <w:numPr>
                <w:ilvl w:val="0"/>
                <w:numId w:val="1009"/>
              </w:numPr>
              <w:jc w:val="left"/>
            </w:pPr>
            <w:r>
              <w:t xml:space="preserve">Le système enregistre l’ordre au statut</w:t>
            </w:r>
            <w:r>
              <w:t xml:space="preserve"> </w:t>
            </w:r>
            <w:r>
              <w:rPr>
                <w:i/>
                <w:iCs/>
              </w:rPr>
              <w:t xml:space="preserve">En attente</w:t>
            </w:r>
          </w:p>
          <w:p>
            <w:pPr>
              <w:numPr>
                <w:ilvl w:val="0"/>
                <w:numId w:val="1009"/>
              </w:numPr>
              <w:jc w:val="left"/>
            </w:pPr>
            <w:r>
              <w:t xml:space="preserve">L’équipe SGI consulte la liste des ordres en attente</w:t>
            </w:r>
          </w:p>
          <w:p>
            <w:pPr>
              <w:numPr>
                <w:ilvl w:val="0"/>
                <w:numId w:val="1009"/>
              </w:numPr>
              <w:jc w:val="left"/>
            </w:pPr>
            <w:r>
              <w:t xml:space="preserve">L’équipe SGI approuve l’ordre ; le système contrôle la</w:t>
            </w:r>
            <w:r>
              <w:t xml:space="preserve"> </w:t>
            </w:r>
            <w:r>
              <w:t xml:space="preserve">liquidité (solde espèces suffisant) et passe le statut à</w:t>
            </w:r>
            <w:r>
              <w:t xml:space="preserve"> </w:t>
            </w:r>
            <w:r>
              <w:rPr>
                <w:i/>
                <w:iCs/>
              </w:rPr>
              <w:t xml:space="preserve">Approuvé</w:t>
            </w:r>
          </w:p>
          <w:p>
            <w:pPr>
              <w:numPr>
                <w:ilvl w:val="0"/>
                <w:numId w:val="1009"/>
              </w:numPr>
              <w:jc w:val="left"/>
            </w:pPr>
            <w:r>
              <w:t xml:space="preserve">L’équipe SGI exécute l’ordre ; le système simule l’exécution</w:t>
            </w:r>
            <w:r>
              <w:t xml:space="preserve"> </w:t>
            </w:r>
            <w:r>
              <w:t xml:space="preserve">(prix, quantité, frais), débite le compte espèces, crédite le compte</w:t>
            </w:r>
            <w:r>
              <w:t xml:space="preserve"> </w:t>
            </w:r>
            <w:r>
              <w:t xml:space="preserve">titres, met à jour le portefeuille et passe le statut à</w:t>
            </w:r>
            <w:r>
              <w:t xml:space="preserve"> </w:t>
            </w:r>
            <w:r>
              <w:rPr>
                <w:i/>
                <w:iCs/>
              </w:rPr>
              <w:t xml:space="preserve">Exécuté</w:t>
            </w:r>
          </w:p>
          <w:p>
            <w:pPr>
              <w:numPr>
                <w:ilvl w:val="0"/>
                <w:numId w:val="1009"/>
              </w:numPr>
              <w:jc w:val="left"/>
            </w:pPr>
            <w:r>
              <w:t xml:space="preserve">Le client consulte l’état actualisé de son ordre et de son</w:t>
            </w:r>
            <w:r>
              <w:t xml:space="preserve"> </w:t>
            </w:r>
            <w:r>
              <w:t xml:space="preserve">portefeuille</w:t>
            </w:r>
          </w:p>
        </w:tc>
      </w:tr>
      <w:tr>
        <w:tc>
          <w:tcPr/>
          <w:p>
            <w:pPr>
              <w:pStyle w:val="Compact"/>
              <w:jc w:val="left"/>
            </w:pPr>
            <w:r>
              <w:rPr>
                <w:b/>
                <w:bCs/>
              </w:rPr>
              <w:t xml:space="preserve">Scénario alternatif</w:t>
            </w:r>
          </w:p>
        </w:tc>
        <w:tc>
          <w:tcPr/>
          <w:p>
            <w:pPr>
              <w:jc w:val="left"/>
            </w:pPr>
            <w:r>
              <w:rPr>
                <w:b/>
                <w:bCs/>
              </w:rPr>
              <w:t xml:space="preserve">A1 – Rejet de l’ordre :</w:t>
            </w:r>
            <w:r>
              <w:t xml:space="preserve"> </w:t>
            </w:r>
            <w:r>
              <w:t xml:space="preserve">l’équipe SGI rejette l’ordre en</w:t>
            </w:r>
            <w:r>
              <w:t xml:space="preserve"> </w:t>
            </w:r>
            <w:r>
              <w:t xml:space="preserve">saisissant un motif ; le statut passe à</w:t>
            </w:r>
            <w:r>
              <w:t xml:space="preserve"> </w:t>
            </w:r>
            <w:r>
              <w:rPr>
                <w:i/>
                <w:iCs/>
              </w:rPr>
              <w:t xml:space="preserve">Rejeté</w:t>
            </w:r>
            <w:r>
              <w:t xml:space="preserve"> </w:t>
            </w:r>
            <w:r>
              <w:t xml:space="preserve">et le motif est</w:t>
            </w:r>
            <w:r>
              <w:t xml:space="preserve"> </w:t>
            </w:r>
            <w:r>
              <w:t xml:space="preserve">enregistré, puis communiqué au client</w:t>
            </w:r>
          </w:p>
        </w:tc>
      </w:tr>
      <w:tr>
        <w:tc>
          <w:tcPr/>
          <w:p>
            <w:pPr>
              <w:pStyle w:val="Compact"/>
              <w:jc w:val="left"/>
            </w:pPr>
            <w:r>
              <w:rPr>
                <w:b/>
                <w:bCs/>
              </w:rPr>
              <w:t xml:space="preserve">Scénario d’exception</w:t>
            </w:r>
          </w:p>
        </w:tc>
        <w:tc>
          <w:tcPr/>
          <w:p>
            <w:pPr>
              <w:jc w:val="left"/>
            </w:pPr>
            <w:r>
              <w:rPr>
                <w:b/>
                <w:bCs/>
              </w:rPr>
              <w:t xml:space="preserve">E1 – Liquidité insuffisante :</w:t>
            </w:r>
            <w:r>
              <w:t xml:space="preserve"> </w:t>
            </w:r>
            <w:r>
              <w:t xml:space="preserve">au moment de l’approbation, le</w:t>
            </w:r>
            <w:r>
              <w:t xml:space="preserve"> </w:t>
            </w:r>
            <w:r>
              <w:t xml:space="preserve">contrôle du solde espèces échoue ; le système refuse l’approbation et</w:t>
            </w:r>
            <w:r>
              <w:t xml:space="preserve"> </w:t>
            </w:r>
            <w:r>
              <w:t xml:space="preserve">l’ordre reste au statut</w:t>
            </w:r>
            <w:r>
              <w:t xml:space="preserve"> </w:t>
            </w:r>
            <w:r>
              <w:rPr>
                <w:i/>
                <w:iCs/>
              </w:rPr>
              <w:t xml:space="preserve">En attente</w:t>
            </w:r>
          </w:p>
          <w:p>
            <w:pPr>
              <w:jc w:val="left"/>
            </w:pPr>
            <w:r>
              <w:rPr>
                <w:b/>
                <w:bCs/>
              </w:rPr>
              <w:t xml:space="preserve">E2 – Titre non coté :</w:t>
            </w:r>
            <w:r>
              <w:t xml:space="preserve"> </w:t>
            </w:r>
            <w:r>
              <w:t xml:space="preserve">la cotation du titre n’est pas</w:t>
            </w:r>
            <w:r>
              <w:t xml:space="preserve"> </w:t>
            </w:r>
            <w:r>
              <w:t xml:space="preserve">disponible ; la création de l’ordre est refusée</w:t>
            </w:r>
          </w:p>
        </w:tc>
      </w:tr>
      <w:tr>
        <w:tc>
          <w:tcPr/>
          <w:p>
            <w:pPr>
              <w:pStyle w:val="Compact"/>
              <w:jc w:val="left"/>
            </w:pPr>
            <w:r>
              <w:rPr>
                <w:b/>
                <w:bCs/>
              </w:rPr>
              <w:t xml:space="preserve">Postconditions</w:t>
            </w:r>
          </w:p>
        </w:tc>
        <w:tc>
          <w:tcPr/>
          <w:p>
            <w:pPr>
              <w:pStyle w:val="Compact"/>
              <w:jc w:val="left"/>
            </w:pPr>
            <w:r>
              <w:t xml:space="preserve">L’ordre est enregistré avec son statut final ;</w:t>
            </w:r>
            <w:r>
              <w:t xml:space="preserve"> </w:t>
            </w:r>
            <w:r>
              <w:t xml:space="preserve">en cas d’exécution, le portefeuille et les comptes espèces et titres</w:t>
            </w:r>
            <w:r>
              <w:t xml:space="preserve"> </w:t>
            </w:r>
            <w:r>
              <w:t xml:space="preserve">sont mis à jour, et un journal d’exécution est créé ; un évènement</w:t>
            </w:r>
            <w:r>
              <w:t xml:space="preserve"> </w:t>
            </w:r>
            <w:r>
              <w:t xml:space="preserve">d’audit est journalisé à chaque étape</w:t>
            </w:r>
          </w:p>
        </w:tc>
      </w:tr>
    </w:tbl>
    <w:bookmarkEnd w:id="54"/>
    <w:p>
      <w:pPr>
        <w:pStyle w:val="BodyText"/>
      </w:pPr>
      <w:r>
        <w:t xml:space="preserve">La figure </w:t>
      </w:r>
      <w:hyperlink w:anchor="fig:sgi_ordres">
        <w:r>
          <w:rPr>
            <w:rStyle w:val="Hyperlink"/>
          </w:rPr>
          <w:t xml:space="preserve">2.4</w:t>
        </w:r>
      </w:hyperlink>
      <w:r>
        <w:t xml:space="preserve"> </w:t>
      </w:r>
      <w:r>
        <w:t xml:space="preserve">représente le déroulement de cette fonctionnalité à</w:t>
      </w:r>
      <w:r>
        <w:t xml:space="preserve"> </w:t>
      </w:r>
      <w:r>
        <w:t xml:space="preserve">travers un diagramme de séquence.</w:t>
      </w:r>
    </w:p>
    <w:bookmarkStart w:id="55" w:name="fig:sgi_ordres"/>
    <w:tbl>
      <w:tblPr>
        <w:tblStyle w:val="FigureTable"/>
        <w:tblW w:type="auto" w:w="0"/>
        <w:jc w:val="center"/>
        <w:tblLook w:firstRow="0" w:lastRow="0" w:firstColumn="0" w:lastColumn="0"/>
      </w:tblPr>
      <w:tblGrid/>
    </w:tbl>
    <w:p>
      <w:pPr>
        <w:pStyle w:val="ImageCaption"/>
      </w:pPr>
      <w:r>
        <w:t xml:space="preserve">Circuit de soumission et de traitement d’un ordre de bourse du client à l’exécution</w:t>
      </w:r>
    </w:p>
    <w:bookmarkEnd w:id="55"/>
    <w:bookmarkEnd w:id="56"/>
    <w:bookmarkEnd w:id="57"/>
    <w:bookmarkEnd w:id="58"/>
    <w:bookmarkStart w:id="59" w:name="exigences-non-fonctionnelles"/>
    <w:p>
      <w:pPr>
        <w:pStyle w:val="Heading2"/>
      </w:pPr>
      <w:r>
        <w:t xml:space="preserve">Exigences non fonctionnelles</w:t>
      </w:r>
    </w:p>
    <w:p>
      <w:pPr>
        <w:pStyle w:val="FirstParagraph"/>
      </w:pPr>
      <w:r>
        <w:t xml:space="preserve">En plus des fonctionnalités, le système doit respecter plusieurs exigences non</w:t>
      </w:r>
      <w:r>
        <w:t xml:space="preserve"> </w:t>
      </w:r>
      <w:r>
        <w:t xml:space="preserve">fonctionnelles. Ces exigences déterminent la qualité globale de la solution et sont</w:t>
      </w:r>
      <w:r>
        <w:t xml:space="preserve"> </w:t>
      </w:r>
      <w:r>
        <w:t xml:space="preserve">particulièrement importantes dans un environnement bancaire. Elles encadrent la manière</w:t>
      </w:r>
      <w:r>
        <w:t xml:space="preserve"> </w:t>
      </w:r>
      <w:r>
        <w:t xml:space="preserve">dont le système doit être conçu, sécurisé, maintenu et utilisé.</w:t>
      </w:r>
    </w:p>
    <w:p>
      <w:pPr>
        <w:pStyle w:val="DefinitionTerm"/>
      </w:pPr>
      <w:r>
        <w:t xml:space="preserve">Sécurité</w:t>
      </w:r>
    </w:p>
    <w:p>
      <w:pPr>
        <w:pStyle w:val="Definition"/>
      </w:pPr>
      <w:r>
        <w:t xml:space="preserve">Les accès doivent être contrôlés par rôle. Un client ne doit accéder</w:t>
      </w:r>
      <w:r>
        <w:t xml:space="preserve"> </w:t>
      </w:r>
      <w:r>
        <w:t xml:space="preserve">qu’à ses propres données, tandis que les utilisateurs internes doivent disposer</w:t>
      </w:r>
      <w:r>
        <w:t xml:space="preserve"> </w:t>
      </w:r>
      <w:r>
        <w:t xml:space="preserve">d’autorisations adaptées à leurs responsabilités.</w:t>
      </w:r>
    </w:p>
    <w:p>
      <w:pPr>
        <w:pStyle w:val="DefinitionTerm"/>
      </w:pPr>
      <w:r>
        <w:t xml:space="preserve">Confidentialité</w:t>
      </w:r>
    </w:p>
    <w:p>
      <w:pPr>
        <w:pStyle w:val="Definition"/>
      </w:pPr>
      <w:r>
        <w:t xml:space="preserve">Les données personnelles, KYC, bancaires et d’investissement</w:t>
      </w:r>
      <w:r>
        <w:t xml:space="preserve"> </w:t>
      </w:r>
      <w:r>
        <w:t xml:space="preserve">doivent être protégées contre tout accès non autorisé.</w:t>
      </w:r>
    </w:p>
    <w:p>
      <w:pPr>
        <w:pStyle w:val="DefinitionTerm"/>
      </w:pPr>
      <w:r>
        <w:t xml:space="preserve">Traçabilité</w:t>
      </w:r>
    </w:p>
    <w:p>
      <w:pPr>
        <w:pStyle w:val="Definition"/>
      </w:pPr>
      <w:r>
        <w:t xml:space="preserve">Les actions importantes doivent être historisées : consultation</w:t>
      </w:r>
      <w:r>
        <w:t xml:space="preserve"> </w:t>
      </w:r>
      <w:r>
        <w:t xml:space="preserve">sensible, modification de données, validation ou rejet d’ordre, et mise à jour</w:t>
      </w:r>
      <w:r>
        <w:t xml:space="preserve"> </w:t>
      </w:r>
      <w:r>
        <w:t xml:space="preserve">de statut.</w:t>
      </w:r>
    </w:p>
    <w:p>
      <w:pPr>
        <w:pStyle w:val="DefinitionTerm"/>
      </w:pPr>
      <w:r>
        <w:t xml:space="preserve">Disponibilité</w:t>
      </w:r>
    </w:p>
    <w:p>
      <w:pPr>
        <w:pStyle w:val="Definition"/>
      </w:pPr>
      <w:r>
        <w:t xml:space="preserve">Le système doit être accessible de manière continue afin de</w:t>
      </w:r>
      <w:r>
        <w:t xml:space="preserve"> </w:t>
      </w:r>
      <w:r>
        <w:t xml:space="preserve">permettre la consultation des informations et le suivi des opérations.</w:t>
      </w:r>
    </w:p>
    <w:p>
      <w:pPr>
        <w:pStyle w:val="DefinitionTerm"/>
      </w:pPr>
      <w:r>
        <w:t xml:space="preserve">Évolutivité</w:t>
      </w:r>
    </w:p>
    <w:p>
      <w:pPr>
        <w:pStyle w:val="Definition"/>
      </w:pPr>
      <w:r>
        <w:t xml:space="preserve">La solution doit pouvoir intégrer de nouvelles fonctionnalités et</w:t>
      </w:r>
      <w:r>
        <w:t xml:space="preserve"> </w:t>
      </w:r>
      <w:r>
        <w:t xml:space="preserve">de nouveaux modules sans remettre en cause l’ensemble de l’architecture existante.</w:t>
      </w:r>
    </w:p>
    <w:p>
      <w:pPr>
        <w:pStyle w:val="DefinitionTerm"/>
      </w:pPr>
      <w:r>
        <w:t xml:space="preserve">Ergonomie</w:t>
      </w:r>
    </w:p>
    <w:p>
      <w:pPr>
        <w:pStyle w:val="Definition"/>
      </w:pPr>
      <w:r>
        <w:t xml:space="preserve">Les interfaces doivent être simples, lisibles et adaptées aux profils</w:t>
      </w:r>
      <w:r>
        <w:t xml:space="preserve"> </w:t>
      </w:r>
      <w:r>
        <w:t xml:space="preserve">utilisateurs afin de réduire les erreurs et de faciliter l’adoption du système.</w:t>
      </w:r>
    </w:p>
    <w:p>
      <w:pPr>
        <w:pStyle w:val="FirstParagraph"/>
      </w:pPr>
      <w:r>
        <w:t xml:space="preserve">La sécurité et la confidentialité sont prioritaires, car le système manipule des</w:t>
      </w:r>
      <w:r>
        <w:t xml:space="preserve"> </w:t>
      </w:r>
      <w:r>
        <w:t xml:space="preserve">informations sensibles. La traçabilité est indispensable pour reconstituer les opérations</w:t>
      </w:r>
      <w:r>
        <w:t xml:space="preserve"> </w:t>
      </w:r>
      <w:r>
        <w:t xml:space="preserve">et répondre aux exigences de contrôle. L’ergonomie doit être prise en compte dès la</w:t>
      </w:r>
      <w:r>
        <w:t xml:space="preserve"> </w:t>
      </w:r>
      <w:r>
        <w:t xml:space="preserve">conception, car un système complet mais difficile à utiliser risque d’être insuffisamment</w:t>
      </w:r>
      <w:r>
        <w:t xml:space="preserve"> </w:t>
      </w:r>
      <w:r>
        <w:t xml:space="preserve">adopté.</w:t>
      </w:r>
    </w:p>
    <w:bookmarkEnd w:id="59"/>
    <w:bookmarkStart w:id="60" w:name="conclusion-1"/>
    <w:p>
      <w:pPr>
        <w:pStyle w:val="Heading2"/>
      </w:pPr>
      <w:r>
        <w:t xml:space="preserve">Conclusion</w:t>
      </w:r>
    </w:p>
    <w:p>
      <w:pPr>
        <w:pStyle w:val="FirstParagraph"/>
      </w:pPr>
      <w:r>
        <w:t xml:space="preserve">Ce chapitre a permis d’identifier les besoins fonctionnels et non fonctionnels du système</w:t>
      </w:r>
      <w:r>
        <w:t xml:space="preserve"> </w:t>
      </w:r>
      <w:r>
        <w:t xml:space="preserve">I-SIB pour les modules Relation Client et SGI. Les fonctionnalités décrites couvrent la</w:t>
      </w:r>
      <w:r>
        <w:t xml:space="preserve"> </w:t>
      </w:r>
      <w:r>
        <w:t xml:space="preserve">gestion de la relation client, la conformité KYC, le suivi des portefeuilles et le</w:t>
      </w:r>
      <w:r>
        <w:t xml:space="preserve"> </w:t>
      </w:r>
      <w:r>
        <w:t xml:space="preserve">traitement des ordres de bourse. Chaque fonctionnalité a été détaillée à travers une fiche</w:t>
      </w:r>
      <w:r>
        <w:t xml:space="preserve"> </w:t>
      </w:r>
      <w:r>
        <w:t xml:space="preserve">textuelle structurée et illustrée par un diagramme de séquence. Ces besoins s’accompagnent</w:t>
      </w:r>
      <w:r>
        <w:t xml:space="preserve"> </w:t>
      </w:r>
      <w:r>
        <w:t xml:space="preserve">d’exigences essentielles en matière de sécurité, de confidentialité, de performance et de</w:t>
      </w:r>
      <w:r>
        <w:t xml:space="preserve"> </w:t>
      </w:r>
      <w:r>
        <w:t xml:space="preserve">traçabilité.</w:t>
      </w:r>
    </w:p>
    <w:p>
      <w:pPr>
        <w:pStyle w:val="BodyText"/>
      </w:pPr>
      <w:r>
        <w:t xml:space="preserve">Cette analyse constitue la base de la conception fonctionnelle et technique du système,</w:t>
      </w:r>
      <w:r>
        <w:t xml:space="preserve"> </w:t>
      </w:r>
      <w:r>
        <w:t xml:space="preserve">présentée dans le chapitre suivant.</w:t>
      </w:r>
    </w:p>
    <w:bookmarkEnd w:id="60"/>
    <w:bookmarkEnd w:id="61"/>
    <w:bookmarkStart w:id="82" w:name="conception-de-la-solution"/>
    <w:p>
      <w:pPr>
        <w:pStyle w:val="Heading1"/>
      </w:pPr>
      <w:r>
        <w:t xml:space="preserve">Conception de la solution</w:t>
      </w:r>
    </w:p>
    <w:bookmarkStart w:id="62" w:name="introduction-2"/>
    <w:p>
      <w:pPr>
        <w:pStyle w:val="Heading2"/>
      </w:pPr>
      <w:r>
        <w:t xml:space="preserve">Introduction</w:t>
      </w:r>
    </w:p>
    <w:p>
      <w:pPr>
        <w:pStyle w:val="FirstParagraph"/>
      </w:pPr>
      <w:r>
        <w:t xml:space="preserve">Ce chapitre traduit les besoins identifiés au chapitre précédent en une solution</w:t>
      </w:r>
      <w:r>
        <w:t xml:space="preserve"> </w:t>
      </w:r>
      <w:r>
        <w:t xml:space="preserve">structurée et implémentable. Il présente d’abord les principes retenus pour organiser</w:t>
      </w:r>
      <w:r>
        <w:t xml:space="preserve"> </w:t>
      </w:r>
      <w:r>
        <w:t xml:space="preserve">la plateforme, puis l’architecture fonctionnelle d’I-SIB, les choix technologiques,</w:t>
      </w:r>
      <w:r>
        <w:t xml:space="preserve"> </w:t>
      </w:r>
      <w:r>
        <w:t xml:space="preserve">l’architecture technique, la conception détaillée de la fonctionnalité Gestion des</w:t>
      </w:r>
      <w:r>
        <w:t xml:space="preserve"> </w:t>
      </w:r>
      <w:r>
        <w:t xml:space="preserve">prospects et enfin l’architecture de déploiement.</w:t>
      </w:r>
    </w:p>
    <w:bookmarkEnd w:id="62"/>
    <w:bookmarkStart w:id="63" w:name="principes-de-conception-de-larchitecture"/>
    <w:p>
      <w:pPr>
        <w:pStyle w:val="Heading2"/>
      </w:pPr>
      <w:r>
        <w:t xml:space="preserve">Principes de conception de l’architecture</w:t>
      </w:r>
    </w:p>
    <w:p>
      <w:pPr>
        <w:pStyle w:val="FirstParagraph"/>
      </w:pPr>
      <w:r>
        <w:t xml:space="preserve">En prenant en compte les besoins fonctionnels et non fonctionnels identifiés au chapitre</w:t>
      </w:r>
      <w:r>
        <w:t xml:space="preserve"> </w:t>
      </w:r>
      <w:r>
        <w:t xml:space="preserve">précédent, la conception de la solution doit s’appuyer sur des principes d’organisation</w:t>
      </w:r>
      <w:r>
        <w:t xml:space="preserve"> </w:t>
      </w:r>
      <w:r>
        <w:t xml:space="preserve">clairs. Ces principes permettent d’orienter les choix d’architecture afin de répondre aux</w:t>
      </w:r>
      <w:r>
        <w:t xml:space="preserve"> </w:t>
      </w:r>
      <w:r>
        <w:t xml:space="preserve">contraintes du contexte bancaire, notamment la sécurité des accès, la protection des</w:t>
      </w:r>
      <w:r>
        <w:t xml:space="preserve"> </w:t>
      </w:r>
      <w:r>
        <w:t xml:space="preserve">données, la traçabilité des opérations et l’évolution progressive des modules métier.</w:t>
      </w:r>
      <w:r>
        <w:t xml:space="preserve"> </w:t>
      </w:r>
      <w:r>
        <w:t xml:space="preserve">Cette section présente donc les principes retenus, qui serviront de base à l’architecture</w:t>
      </w:r>
      <w:r>
        <w:t xml:space="preserve"> </w:t>
      </w:r>
      <w:r>
        <w:t xml:space="preserve">globale de la plateforme, en cohérence avec les principes de qualité logicielle</w:t>
      </w:r>
      <w:r>
        <w:t xml:space="preserve"> </w:t>
      </w:r>
      <w:r>
        <w:t xml:space="preserve"> </w:t>
      </w:r>
      <w:r>
        <w:t xml:space="preserve">et de sécurité applicative</w:t>
      </w:r>
      <w:r>
        <w:t xml:space="preserve"> </w:t>
      </w:r>
      <w:r>
        <w:t xml:space="preserve">.</w:t>
      </w:r>
    </w:p>
    <w:p>
      <w:pPr>
        <w:pStyle w:val="BodyText"/>
      </w:pPr>
      <w:r>
        <w:t xml:space="preserve">Les principaux principes retenus sont les suivants :</w:t>
      </w:r>
    </w:p>
    <w:p>
      <w:pPr>
        <w:numPr>
          <w:ilvl w:val="0"/>
          <w:numId w:val="1010"/>
        </w:numPr>
      </w:pPr>
      <w:r>
        <w:rPr>
          <w:b/>
          <w:bCs/>
        </w:rPr>
        <w:t xml:space="preserve">Séparer les responsabilités</w:t>
      </w:r>
      <w:r>
        <w:t xml:space="preserve"> </w:t>
      </w:r>
      <w:r>
        <w:t xml:space="preserve">afin que chaque module conserve un périmètre</w:t>
      </w:r>
      <w:r>
        <w:t xml:space="preserve"> </w:t>
      </w:r>
      <w:r>
        <w:t xml:space="preserve">clair, notamment pour la Relation Client, la SGI, l’authentification, l’audit et</w:t>
      </w:r>
      <w:r>
        <w:t xml:space="preserve"> </w:t>
      </w:r>
      <w:r>
        <w:t xml:space="preserve">les services transversaux.</w:t>
      </w:r>
    </w:p>
    <w:p>
      <w:pPr>
        <w:numPr>
          <w:ilvl w:val="0"/>
          <w:numId w:val="1010"/>
        </w:numPr>
      </w:pPr>
      <w:r>
        <w:rPr>
          <w:b/>
          <w:bCs/>
        </w:rPr>
        <w:t xml:space="preserve">Filtrer et contrôler les accès entrants</w:t>
      </w:r>
      <w:r>
        <w:t xml:space="preserve"> </w:t>
      </w:r>
      <w:r>
        <w:t xml:space="preserve">via un composant dédié, afin de garantir que seules les requêtes autorisées atteignent les services métier.</w:t>
      </w:r>
    </w:p>
    <w:p>
      <w:pPr>
        <w:numPr>
          <w:ilvl w:val="0"/>
          <w:numId w:val="1010"/>
        </w:numPr>
      </w:pPr>
      <w:r>
        <w:rPr>
          <w:b/>
          <w:bCs/>
        </w:rPr>
        <w:t xml:space="preserve">Protéger les données sensibles</w:t>
      </w:r>
      <w:r>
        <w:t xml:space="preserve"> </w:t>
      </w:r>
      <w:r>
        <w:t xml:space="preserve">en limitant les accès selon les rôles et</w:t>
      </w:r>
      <w:r>
        <w:t xml:space="preserve"> </w:t>
      </w:r>
      <w:r>
        <w:t xml:space="preserve">en isolant les informations manipulées par les différents services.</w:t>
      </w:r>
    </w:p>
    <w:p>
      <w:pPr>
        <w:numPr>
          <w:ilvl w:val="0"/>
          <w:numId w:val="1010"/>
        </w:numPr>
      </w:pPr>
      <w:r>
        <w:rPr>
          <w:b/>
          <w:bCs/>
        </w:rPr>
        <w:t xml:space="preserve">Assurer la traçabilité</w:t>
      </w:r>
      <w:r>
        <w:t xml:space="preserve"> </w:t>
      </w:r>
      <w:r>
        <w:t xml:space="preserve">des opérations importantes, en particulier les</w:t>
      </w:r>
      <w:r>
        <w:t xml:space="preserve"> </w:t>
      </w:r>
      <w:r>
        <w:t xml:space="preserve">actions liées au KYC, aux prospects, aux portefeuilles et aux ordres de bourse.</w:t>
      </w:r>
    </w:p>
    <w:p>
      <w:pPr>
        <w:numPr>
          <w:ilvl w:val="0"/>
          <w:numId w:val="1010"/>
        </w:numPr>
      </w:pPr>
      <w:r>
        <w:rPr>
          <w:b/>
          <w:bCs/>
        </w:rPr>
        <w:t xml:space="preserve">Faciliter l’évolution du système</w:t>
      </w:r>
      <w:r>
        <w:t xml:space="preserve"> </w:t>
      </w:r>
      <w:r>
        <w:t xml:space="preserve">afin de pouvoir ajouter de nouveaux</w:t>
      </w:r>
      <w:r>
        <w:t xml:space="preserve"> </w:t>
      </w:r>
      <w:r>
        <w:t xml:space="preserve">modules ou de nouvelles fonctionnalités sans remettre en cause toute la</w:t>
      </w:r>
      <w:r>
        <w:t xml:space="preserve"> </w:t>
      </w:r>
      <w:r>
        <w:t xml:space="preserve">plateforme.</w:t>
      </w:r>
    </w:p>
    <w:p>
      <w:pPr>
        <w:numPr>
          <w:ilvl w:val="0"/>
          <w:numId w:val="1010"/>
        </w:numPr>
      </w:pPr>
      <w:r>
        <w:rPr>
          <w:b/>
          <w:bCs/>
        </w:rPr>
        <w:t xml:space="preserve">Maintenir une expérience utilisateur cohérente</w:t>
      </w:r>
      <w:r>
        <w:t xml:space="preserve"> </w:t>
      </w:r>
      <w:r>
        <w:t xml:space="preserve">entre les interfaces</w:t>
      </w:r>
      <w:r>
        <w:t xml:space="preserve"> </w:t>
      </w:r>
      <w:r>
        <w:t xml:space="preserve">destinées aux clients et celles utilisées par les équipes internes.</w:t>
      </w:r>
    </w:p>
    <w:p>
      <w:pPr>
        <w:pStyle w:val="FirstParagraph"/>
      </w:pPr>
      <w:r>
        <w:t xml:space="preserve">Ces principes conduisent à retenir une architecture modulaire, organisée autour de blocs</w:t>
      </w:r>
      <w:r>
        <w:t xml:space="preserve"> </w:t>
      </w:r>
      <w:r>
        <w:t xml:space="preserve">spécialisés qui communiquent entre eux de manière contrôlée</w:t>
      </w:r>
      <w:r>
        <w:t xml:space="preserve"> </w:t>
      </w:r>
      <w:r>
        <w:t xml:space="preserve">.</w:t>
      </w:r>
    </w:p>
    <w:bookmarkEnd w:id="63"/>
    <w:bookmarkStart w:id="67" w:name="Xbeaa439599c5bb88174e981285d86b712af0a03"/>
    <w:p>
      <w:pPr>
        <w:pStyle w:val="Heading2"/>
      </w:pPr>
      <w:r>
        <w:t xml:space="preserve">Architecture fonctionnelle de la solution</w:t>
      </w:r>
    </w:p>
    <w:bookmarkStart w:id="65" w:name="vue-densemble"/>
    <w:p>
      <w:pPr>
        <w:pStyle w:val="Heading3"/>
      </w:pPr>
      <w:r>
        <w:t xml:space="preserve">Vue d’ensemble</w:t>
      </w:r>
    </w:p>
    <w:p>
      <w:pPr>
        <w:pStyle w:val="FirstParagraph"/>
      </w:pPr>
      <w:r>
        <w:t xml:space="preserve">La solution I-SIB repose sur une architecture microservices organisée en plusieurs couches. Les utilisateurs accèdent à la plateforme via deux interfaces web : un back-office pour les employés et un front-office pour les clients. Les requêtes passent par une passerelle API chargée du routage et du contrôle des accès, en lien avec le service d’authentification.</w:t>
      </w:r>
    </w:p>
    <w:p>
      <w:pPr>
        <w:pStyle w:val="BodyText"/>
      </w:pPr>
      <w:r>
        <w:t xml:space="preserve">L’architecture regroupe les interfaces utilisateur, les services métier ainsi que les composants techniques assurant la sécurité, le routage, le stockage des données, le cache, la messagerie et la traçabilité. La figure </w:t>
      </w:r>
      <w:hyperlink w:anchor="fig:architecture_fonctionnelle">
        <w:r>
          <w:rPr>
            <w:rStyle w:val="Hyperlink"/>
          </w:rPr>
          <w:t xml:space="preserve">3.1</w:t>
        </w:r>
      </w:hyperlink>
      <w:r>
        <w:t xml:space="preserve"> </w:t>
      </w:r>
      <w:r>
        <w:t xml:space="preserve">présente l’organisation fonctionnelle de ces composants et leurs interactions.</w:t>
      </w:r>
    </w:p>
    <w:bookmarkStart w:id="64" w:name="fig:architecture_fonctionnelle"/>
    <w:tbl>
      <w:tblPr>
        <w:tblStyle w:val="FigureTable"/>
        <w:tblW w:type="auto" w:w="0"/>
        <w:jc w:val="center"/>
        <w:tblLook w:firstRow="0" w:lastRow="0" w:firstColumn="0" w:lastColumn="0"/>
      </w:tblPr>
      <w:tblGrid/>
    </w:tbl>
    <w:p>
      <w:pPr>
        <w:pStyle w:val="ImageCaption"/>
      </w:pPr>
      <w:r>
        <w:t xml:space="preserve">Architecture fonctionnelle de la plateforme I-SIB</w:t>
      </w:r>
    </w:p>
    <w:bookmarkEnd w:id="64"/>
    <w:p>
      <w:pPr>
        <w:pStyle w:val="BodyText"/>
      </w:pPr>
      <w:r>
        <w:t xml:space="preserve">Comme le montre la figure </w:t>
      </w:r>
      <w:hyperlink w:anchor="fig:architecture_fonctionnelle">
        <w:r>
          <w:rPr>
            <w:rStyle w:val="Hyperlink"/>
          </w:rPr>
          <w:t xml:space="preserve">3.1</w:t>
        </w:r>
      </w:hyperlink>
      <w:r>
        <w:t xml:space="preserve">, la passerelle API joue</w:t>
      </w:r>
      <w:r>
        <w:t xml:space="preserve"> </w:t>
      </w:r>
      <w:r>
        <w:t xml:space="preserve">un rôle central : elle constitue la frontière entre les applications web et les</w:t>
      </w:r>
      <w:r>
        <w:t xml:space="preserve"> </w:t>
      </w:r>
      <w:r>
        <w:t xml:space="preserve">microservices internes. Les services métier restent ainsi isolés de tout accès</w:t>
      </w:r>
      <w:r>
        <w:t xml:space="preserve"> </w:t>
      </w:r>
      <w:r>
        <w:t xml:space="preserve">direct depuis l’extérieur.</w:t>
      </w:r>
    </w:p>
    <w:bookmarkEnd w:id="65"/>
    <w:bookmarkStart w:id="66" w:name="description-des-blocs"/>
    <w:p>
      <w:pPr>
        <w:pStyle w:val="Heading3"/>
      </w:pPr>
      <w:r>
        <w:t xml:space="preserve">Description des blocs</w:t>
      </w:r>
    </w:p>
    <w:p>
      <w:pPr>
        <w:pStyle w:val="FirstParagraph"/>
      </w:pPr>
      <w:r>
        <w:t xml:space="preserve">La figure </w:t>
      </w:r>
      <w:hyperlink w:anchor="fig:architecture_fonctionnelle">
        <w:r>
          <w:rPr>
            <w:rStyle w:val="Hyperlink"/>
          </w:rPr>
          <w:t xml:space="preserve">3.1</w:t>
        </w:r>
      </w:hyperlink>
      <w:r>
        <w:t xml:space="preserve"> </w:t>
      </w:r>
      <w:r>
        <w:t xml:space="preserve">est organisée autour de plusieurs blocs</w:t>
      </w:r>
      <w:r>
        <w:t xml:space="preserve"> </w:t>
      </w:r>
      <w:r>
        <w:t xml:space="preserve">complémentaires, chacun correspondant à une responsabilité précise dans la plateforme.</w:t>
      </w:r>
    </w:p>
    <w:p>
      <w:pPr>
        <w:pStyle w:val="DefinitionTerm"/>
      </w:pPr>
      <w:r>
        <w:t xml:space="preserve">Front-office</w:t>
      </w:r>
    </w:p>
    <w:p>
      <w:pPr>
        <w:pStyle w:val="Definition"/>
      </w:pPr>
      <w:r>
        <w:t xml:space="preserve">Espace destiné aux clients de la banque. Il permet de consulter</w:t>
      </w:r>
      <w:r>
        <w:t xml:space="preserve"> </w:t>
      </w:r>
      <w:r>
        <w:t xml:space="preserve">les comptes, les transactions, les portefeuilles et les ordres de bourse depuis</w:t>
      </w:r>
      <w:r>
        <w:t xml:space="preserve"> </w:t>
      </w:r>
      <w:r>
        <w:t xml:space="preserve">une interface en libre-service.</w:t>
      </w:r>
    </w:p>
    <w:p>
      <w:pPr>
        <w:pStyle w:val="DefinitionTerm"/>
      </w:pPr>
      <w:r>
        <w:t xml:space="preserve">Back-office</w:t>
      </w:r>
    </w:p>
    <w:p>
      <w:pPr>
        <w:pStyle w:val="Definition"/>
      </w:pPr>
      <w:r>
        <w:t xml:space="preserve">Espace réservé aux employés. Il regroupe les modules utilisés par</w:t>
      </w:r>
      <w:r>
        <w:t xml:space="preserve"> </w:t>
      </w:r>
      <w:r>
        <w:t xml:space="preserve">les chargés de clientèle, les gestionnaires SGI, les équipes d’agence, la</w:t>
      </w:r>
      <w:r>
        <w:t xml:space="preserve"> </w:t>
      </w:r>
      <w:r>
        <w:t xml:space="preserve">trésorerie, la comptabilité et l’administration.</w:t>
      </w:r>
    </w:p>
    <w:p>
      <w:pPr>
        <w:pStyle w:val="DefinitionTerm"/>
      </w:pPr>
      <w:r>
        <w:t xml:space="preserve">Module Manager</w:t>
      </w:r>
    </w:p>
    <w:p>
      <w:pPr>
        <w:pStyle w:val="Definition"/>
      </w:pPr>
      <w:r>
        <w:t xml:space="preserve">Composant d’administration qui permet de gérer les</w:t>
      </w:r>
      <w:r>
        <w:t xml:space="preserve"> </w:t>
      </w:r>
      <w:r>
        <w:t xml:space="preserve">modules disponibles, les fonctionnalités associées et les rôles autorisés</w:t>
      </w:r>
      <w:r>
        <w:t xml:space="preserve"> </w:t>
      </w:r>
      <w:r>
        <w:t xml:space="preserve">à y accéder. Il fournit ainsi un point de paramétrage des accès fonctionnels</w:t>
      </w:r>
      <w:r>
        <w:t xml:space="preserve"> </w:t>
      </w:r>
      <w:r>
        <w:t xml:space="preserve">de la plateforme, dont les interfaces sont illustrées en</w:t>
      </w:r>
      <w:r>
        <w:t xml:space="preserve"> </w:t>
      </w:r>
      <w:r>
        <w:t xml:space="preserve">annexe </w:t>
      </w:r>
      <w:hyperlink w:anchor="ann:administration-acces">
        <w:r>
          <w:rPr>
            <w:rStyle w:val="Hyperlink"/>
          </w:rPr>
          <w:t xml:space="preserve">[ann:administration-acces]</w:t>
        </w:r>
      </w:hyperlink>
      <w:r>
        <w:t xml:space="preserve">.</w:t>
      </w:r>
    </w:p>
    <w:p>
      <w:pPr>
        <w:pStyle w:val="DefinitionTerm"/>
      </w:pPr>
      <w:r>
        <w:t xml:space="preserve">Authentification et accès</w:t>
      </w:r>
    </w:p>
    <w:p>
      <w:pPr>
        <w:pStyle w:val="Definition"/>
      </w:pPr>
      <w:r>
        <w:t xml:space="preserve">Bloc chargé de contrôler l’identité des utilisateurs,</w:t>
      </w:r>
      <w:r>
        <w:t xml:space="preserve"> </w:t>
      </w:r>
      <w:r>
        <w:t xml:space="preserve">les rôles, les sessions et les règles de sécurité avant l’accès aux services.</w:t>
      </w:r>
    </w:p>
    <w:p>
      <w:pPr>
        <w:pStyle w:val="DefinitionTerm"/>
      </w:pPr>
      <w:r>
        <w:t xml:space="preserve">Passerelle de communication</w:t>
      </w:r>
    </w:p>
    <w:p>
      <w:pPr>
        <w:pStyle w:val="Definition"/>
      </w:pPr>
      <w:r>
        <w:t xml:space="preserve">Point d’entrée central entre les interfaces et les</w:t>
      </w:r>
      <w:r>
        <w:t xml:space="preserve"> </w:t>
      </w:r>
      <w:r>
        <w:t xml:space="preserve">microservices. Elle sécurise les échanges, valide les requêtes, applique les</w:t>
      </w:r>
      <w:r>
        <w:t xml:space="preserve"> </w:t>
      </w:r>
      <w:r>
        <w:t xml:space="preserve">contrôles d’accès et route les demandes vers les services concernés.</w:t>
      </w:r>
    </w:p>
    <w:p>
      <w:pPr>
        <w:pStyle w:val="DefinitionTerm"/>
      </w:pPr>
      <w:r>
        <w:t xml:space="preserve">Registre des services</w:t>
      </w:r>
    </w:p>
    <w:p>
      <w:pPr>
        <w:pStyle w:val="Definition"/>
      </w:pPr>
      <w:r>
        <w:t xml:space="preserve">Annuaire permettant de localiser les services actifs et</w:t>
      </w:r>
      <w:r>
        <w:t xml:space="preserve"> </w:t>
      </w:r>
      <w:r>
        <w:t xml:space="preserve">de suivre leur état. Il facilite la communication entre la passerelle et les</w:t>
      </w:r>
      <w:r>
        <w:t xml:space="preserve"> </w:t>
      </w:r>
      <w:r>
        <w:t xml:space="preserve">microservices internes.</w:t>
      </w:r>
    </w:p>
    <w:p>
      <w:pPr>
        <w:pStyle w:val="DefinitionTerm"/>
      </w:pPr>
      <w:r>
        <w:t xml:space="preserve">Services métier</w:t>
      </w:r>
    </w:p>
    <w:p>
      <w:pPr>
        <w:pStyle w:val="Definition"/>
      </w:pPr>
      <w:r>
        <w:t xml:space="preserve">Ensemble des microservices qui portent les fonctionnalités de</w:t>
      </w:r>
      <w:r>
        <w:t xml:space="preserve"> </w:t>
      </w:r>
      <w:r>
        <w:t xml:space="preserve">la plateforme : Relation Client, SGI, utilisateurs, comptes et transactions,</w:t>
      </w:r>
      <w:r>
        <w:t xml:space="preserve"> </w:t>
      </w:r>
      <w:r>
        <w:t xml:space="preserve">agence, comptabilité, trésorerie et crédit.</w:t>
      </w:r>
    </w:p>
    <w:p>
      <w:pPr>
        <w:pStyle w:val="DefinitionTerm"/>
      </w:pPr>
      <w:r>
        <w:t xml:space="preserve">Audit service</w:t>
      </w:r>
    </w:p>
    <w:p>
      <w:pPr>
        <w:pStyle w:val="Definition"/>
      </w:pPr>
      <w:r>
        <w:t xml:space="preserve">Bloc dédié à la journalisation des événements, à l’historique des</w:t>
      </w:r>
      <w:r>
        <w:t xml:space="preserve"> </w:t>
      </w:r>
      <w:r>
        <w:t xml:space="preserve">actions sensibles et au suivi de la conformité réglementaire.</w:t>
      </w:r>
    </w:p>
    <w:p>
      <w:pPr>
        <w:pStyle w:val="DefinitionTerm"/>
      </w:pPr>
      <w:r>
        <w:t xml:space="preserve">Données et services de support</w:t>
      </w:r>
    </w:p>
    <w:p>
      <w:pPr>
        <w:pStyle w:val="Definition"/>
      </w:pPr>
      <w:r>
        <w:t xml:space="preserve">Ensemble des composants de support aux</w:t>
      </w:r>
      <w:r>
        <w:t xml:space="preserve"> </w:t>
      </w:r>
      <w:r>
        <w:t xml:space="preserve">traitements métier : base de données, cache système, messagerie asynchrone et</w:t>
      </w:r>
      <w:r>
        <w:t xml:space="preserve"> </w:t>
      </w:r>
      <w:r>
        <w:t xml:space="preserve">stockage objet des fichiers et documents.</w:t>
      </w:r>
    </w:p>
    <w:p>
      <w:pPr>
        <w:pStyle w:val="DefinitionTerm"/>
      </w:pPr>
      <w:r>
        <w:t xml:space="preserve">Services IA et analytique</w:t>
      </w:r>
    </w:p>
    <w:p>
      <w:pPr>
        <w:pStyle w:val="Definition"/>
      </w:pPr>
      <w:r>
        <w:t xml:space="preserve">Bloc qui regroupe l’assistant intelligent, l’analyse</w:t>
      </w:r>
      <w:r>
        <w:t xml:space="preserve"> </w:t>
      </w:r>
      <w:r>
        <w:t xml:space="preserve">prédictive et la segmentation client afin d’apporter une aide à la décision.</w:t>
      </w:r>
    </w:p>
    <w:p>
      <w:pPr>
        <w:pStyle w:val="DefinitionTerm"/>
      </w:pPr>
      <w:r>
        <w:t xml:space="preserve">Observabilité et déploiement</w:t>
      </w:r>
    </w:p>
    <w:p>
      <w:pPr>
        <w:pStyle w:val="Definition"/>
      </w:pPr>
      <w:r>
        <w:t xml:space="preserve">Ensemble des éléments qui facilitent l’exploitation</w:t>
      </w:r>
      <w:r>
        <w:t xml:space="preserve"> </w:t>
      </w:r>
      <w:r>
        <w:t xml:space="preserve">de la plateforme : logs, traçabilité des requêtes, intégration continue,</w:t>
      </w:r>
      <w:r>
        <w:t xml:space="preserve"> </w:t>
      </w:r>
      <w:r>
        <w:t xml:space="preserve">déploiement automatisé et orchestration des conteneurs.</w:t>
      </w:r>
    </w:p>
    <w:bookmarkEnd w:id="66"/>
    <w:bookmarkEnd w:id="67"/>
    <w:bookmarkStart w:id="68" w:name="choix-des-outils-et-technologies"/>
    <w:p>
      <w:pPr>
        <w:pStyle w:val="Heading2"/>
      </w:pPr>
      <w:r>
        <w:t xml:space="preserve">Choix des outils et technologies</w:t>
      </w:r>
    </w:p>
    <w:p>
      <w:pPr>
        <w:pStyle w:val="FirstParagraph"/>
      </w:pPr>
      <w:r>
        <w:t xml:space="preserve">Les choix technologiques traduisent l’architecture fonctionnelle en composants</w:t>
      </w:r>
      <w:r>
        <w:t xml:space="preserve"> </w:t>
      </w:r>
      <w:r>
        <w:t xml:space="preserve">réalisables. Ils ont été retenus en fonction des responsabilités à couvrir :</w:t>
      </w:r>
      <w:r>
        <w:t xml:space="preserve"> </w:t>
      </w:r>
      <w:r>
        <w:t xml:space="preserve">interfaces web, services backend, sécurité, routage, persistance des données,</w:t>
      </w:r>
      <w:r>
        <w:t xml:space="preserve"> </w:t>
      </w:r>
      <w:r>
        <w:t xml:space="preserve">messagerie, cache, stockage documentaire, traçabilité et déploiement. Cette section</w:t>
      </w:r>
      <w:r>
        <w:t xml:space="preserve"> </w:t>
      </w:r>
      <w:r>
        <w:t xml:space="preserve">présente les principaux outils utilisés et précise le rôle de chacun dans la plateforme</w:t>
      </w:r>
      <w:r>
        <w:t xml:space="preserve"> </w:t>
      </w:r>
      <w:r>
        <w:t xml:space="preserve">I-SIB. La section suivante montrera comment ces technologies s’assemblent concrètement</w:t>
      </w:r>
      <w:r>
        <w:t xml:space="preserve"> </w:t>
      </w:r>
      <w:r>
        <w:t xml:space="preserve">dans l’architecture technique de la solution.</w:t>
      </w:r>
    </w:p>
    <w:p>
      <w:pPr>
        <w:pStyle w:val="BodyText"/>
      </w:pPr>
      <w:r>
        <w:t xml:space="preserve">Les interfaces web de la plateforme sont développées avec</w:t>
      </w:r>
      <w:r>
        <w:t xml:space="preserve"> </w:t>
      </w:r>
      <w:r>
        <w:rPr>
          <w:b/>
          <w:bCs/>
        </w:rPr>
        <w:t xml:space="preserve">Next.js 16</w:t>
      </w:r>
      <w:r>
        <w:t xml:space="preserve"> </w:t>
      </w:r>
      <w:r>
        <w:t xml:space="preserve"> </w:t>
      </w:r>
      <w:r>
        <w:t xml:space="preserve">et</w:t>
      </w:r>
      <w:r>
        <w:t xml:space="preserve"> </w:t>
      </w:r>
      <w:r>
        <w:rPr>
          <w:b/>
          <w:bCs/>
        </w:rPr>
        <w:t xml:space="preserve">TypeScript</w:t>
      </w:r>
      <w:r>
        <w:t xml:space="preserve"> </w:t>
      </w:r>
      <w:r>
        <w:t xml:space="preserve">, afin de construire des applications front-office et back-office</w:t>
      </w:r>
      <w:r>
        <w:t xml:space="preserve"> </w:t>
      </w:r>
      <w:r>
        <w:t xml:space="preserve">modernes, maintenables et adaptées aux différents profils utilisateurs. Le backend repose</w:t>
      </w:r>
      <w:r>
        <w:t xml:space="preserve"> </w:t>
      </w:r>
      <w:r>
        <w:t xml:space="preserve">sur</w:t>
      </w:r>
      <w:r>
        <w:t xml:space="preserve"> </w:t>
      </w:r>
      <w:r>
        <w:rPr>
          <w:b/>
          <w:bCs/>
        </w:rPr>
        <w:t xml:space="preserve">Spring Boot 3.5</w:t>
      </w:r>
      <w:r>
        <w:t xml:space="preserve"> </w:t>
      </w:r>
      <w:r>
        <w:t xml:space="preserve">, utilisé comme socle de développement des microservices</w:t>
      </w:r>
      <w:r>
        <w:t xml:space="preserve"> </w:t>
      </w:r>
      <w:r>
        <w:t xml:space="preserve">métier. L’accès aux services est centralisé par</w:t>
      </w:r>
      <w:r>
        <w:t xml:space="preserve"> </w:t>
      </w:r>
      <w:r>
        <w:rPr>
          <w:b/>
          <w:bCs/>
        </w:rPr>
        <w:t xml:space="preserve">Spring Cloud Gateway</w:t>
      </w:r>
      <w:r>
        <w:t xml:space="preserve"> </w:t>
      </w:r>
      <w:r>
        <w:t xml:space="preserve">, qui assure</w:t>
      </w:r>
      <w:r>
        <w:t xml:space="preserve"> </w:t>
      </w:r>
      <w:r>
        <w:t xml:space="preserve">le routage, les filtres de sécurité et la résilience. La gestion des identités et des</w:t>
      </w:r>
      <w:r>
        <w:t xml:space="preserve"> </w:t>
      </w:r>
      <w:r>
        <w:t xml:space="preserve">rôles est confiée à</w:t>
      </w:r>
      <w:r>
        <w:t xml:space="preserve"> </w:t>
      </w:r>
      <w:r>
        <w:rPr>
          <w:b/>
          <w:bCs/>
        </w:rPr>
        <w:t xml:space="preserve">Keycloalak</w:t>
      </w:r>
      <w:r>
        <w:t xml:space="preserve"> </w:t>
      </w:r>
      <w:r>
        <w:t xml:space="preserve">, tandis que</w:t>
      </w:r>
      <w:r>
        <w:t xml:space="preserve"> </w:t>
      </w:r>
      <w:r>
        <w:rPr>
          <w:b/>
          <w:bCs/>
        </w:rPr>
        <w:t xml:space="preserve">Netflix Eureka</w:t>
      </w:r>
      <w:r>
        <w:t xml:space="preserve"> </w:t>
      </w:r>
      <w:r>
        <w:t xml:space="preserve"> </w:t>
      </w:r>
      <w:r>
        <w:t xml:space="preserve">permet la découverte dynamique des services.</w:t>
      </w:r>
    </w:p>
    <w:p>
      <w:pPr>
        <w:pStyle w:val="BodyText"/>
      </w:pPr>
      <w:r>
        <w:t xml:space="preserve">Pour la persistance,</w:t>
      </w:r>
      <w:r>
        <w:t xml:space="preserve"> </w:t>
      </w:r>
      <w:r>
        <w:rPr>
          <w:b/>
          <w:bCs/>
        </w:rPr>
        <w:t xml:space="preserve">PostgreSQL</w:t>
      </w:r>
      <w:r>
        <w:t xml:space="preserve"> </w:t>
      </w:r>
      <w:r>
        <w:t xml:space="preserve"> </w:t>
      </w:r>
      <w:r>
        <w:t xml:space="preserve">est retenu comme système de gestion de bases de</w:t>
      </w:r>
      <w:r>
        <w:t xml:space="preserve"> </w:t>
      </w:r>
      <w:r>
        <w:t xml:space="preserve">données relationnel, avec une base isolée par microservice afin de préserver l’autonomie</w:t>
      </w:r>
      <w:r>
        <w:t xml:space="preserve"> </w:t>
      </w:r>
      <w:r>
        <w:t xml:space="preserve">des données.</w:t>
      </w:r>
      <w:r>
        <w:t xml:space="preserve"> </w:t>
      </w:r>
      <w:r>
        <w:rPr>
          <w:b/>
          <w:bCs/>
        </w:rPr>
        <w:t xml:space="preserve">Redis</w:t>
      </w:r>
      <w:r>
        <w:t xml:space="preserve"> </w:t>
      </w:r>
      <w:r>
        <w:t xml:space="preserve"> </w:t>
      </w:r>
      <w:r>
        <w:t xml:space="preserve">est utilisé pour le cache et le contrôle de débit, tandis que</w:t>
      </w:r>
      <w:r>
        <w:t xml:space="preserve"> </w:t>
      </w:r>
      <w:r>
        <w:rPr>
          <w:b/>
          <w:bCs/>
        </w:rPr>
        <w:t xml:space="preserve">RabbitMQ</w:t>
      </w:r>
      <w:r>
        <w:t xml:space="preserve"> </w:t>
      </w:r>
      <w:r>
        <w:t xml:space="preserve"> </w:t>
      </w:r>
      <w:r>
        <w:t xml:space="preserve">prend en charge la communication asynchrone entre les services,</w:t>
      </w:r>
      <w:r>
        <w:t xml:space="preserve"> </w:t>
      </w:r>
      <w:r>
        <w:t xml:space="preserve">notamment pour les événements d’audit. Les documents clients et les pièces KYC sont</w:t>
      </w:r>
      <w:r>
        <w:t xml:space="preserve"> </w:t>
      </w:r>
      <w:r>
        <w:t xml:space="preserve">stockés dans</w:t>
      </w:r>
      <w:r>
        <w:t xml:space="preserve"> </w:t>
      </w:r>
      <w:r>
        <w:rPr>
          <w:b/>
          <w:bCs/>
        </w:rPr>
        <w:t xml:space="preserve">MinIO</w:t>
      </w:r>
      <w:r>
        <w:t xml:space="preserve"> </w:t>
      </w:r>
      <w:r>
        <w:t xml:space="preserve">, qui permet de gérer un stockage objet sécurisé.</w:t>
      </w:r>
    </w:p>
    <w:p>
      <w:pPr>
        <w:pStyle w:val="BodyText"/>
      </w:pPr>
      <w:r>
        <w:t xml:space="preserve">Les fonctionnalités d’intelligence artificielle s’appuient notamment sur</w:t>
      </w:r>
      <w:r>
        <w:t xml:space="preserve"> </w:t>
      </w:r>
      <w:r>
        <w:rPr>
          <w:b/>
          <w:bCs/>
        </w:rPr>
        <w:t xml:space="preserve">Rasa</w:t>
      </w:r>
      <w:r>
        <w:t xml:space="preserve"> </w:t>
      </w:r>
      <w:r>
        <w:t xml:space="preserve"> </w:t>
      </w:r>
      <w:r>
        <w:t xml:space="preserve">pour le chatbot conversationnel et sur des services spécialisés de scoring ou de</w:t>
      </w:r>
      <w:r>
        <w:t xml:space="preserve"> </w:t>
      </w:r>
      <w:r>
        <w:t xml:space="preserve">segmentation. La traçabilité technique est assurée par</w:t>
      </w:r>
      <w:r>
        <w:t xml:space="preserve"> </w:t>
      </w:r>
      <w:r>
        <w:rPr>
          <w:b/>
          <w:bCs/>
        </w:rPr>
        <w:t xml:space="preserve">Zipkin</w:t>
      </w:r>
      <w:r>
        <w:t xml:space="preserve"> </w:t>
      </w:r>
      <w:r>
        <w:t xml:space="preserve">, qui permet de</w:t>
      </w:r>
      <w:r>
        <w:t xml:space="preserve"> </w:t>
      </w:r>
      <w:r>
        <w:t xml:space="preserve">suivre les appels entre microservices. Enfin,</w:t>
      </w:r>
      <w:r>
        <w:t xml:space="preserve"> </w:t>
      </w:r>
      <w:r>
        <w:rPr>
          <w:b/>
          <w:bCs/>
        </w:rPr>
        <w:t xml:space="preserve">Docker</w:t>
      </w:r>
      <w:r>
        <w:t xml:space="preserve"> </w:t>
      </w:r>
      <w:r>
        <w:t xml:space="preserve"> </w:t>
      </w:r>
      <w:r>
        <w:t xml:space="preserve">et</w:t>
      </w:r>
      <w:r>
        <w:t xml:space="preserve"> </w:t>
      </w:r>
      <w:r>
        <w:rPr>
          <w:b/>
          <w:bCs/>
        </w:rPr>
        <w:t xml:space="preserve">Docker Compose</w:t>
      </w:r>
      <w:r>
        <w:t xml:space="preserve"> </w:t>
      </w:r>
      <w:r>
        <w:t xml:space="preserve"> </w:t>
      </w:r>
      <w:r>
        <w:t xml:space="preserve">facilitent la conteneurisation, l’organisation des composants et leur déploiement dans des</w:t>
      </w:r>
      <w:r>
        <w:t xml:space="preserve"> </w:t>
      </w:r>
      <w:r>
        <w:t xml:space="preserve">ensembles Compose séparés.</w:t>
      </w:r>
    </w:p>
    <w:bookmarkEnd w:id="68"/>
    <w:bookmarkStart w:id="70" w:name="architecture-technique-de-la-solution"/>
    <w:p>
      <w:pPr>
        <w:pStyle w:val="Heading2"/>
      </w:pPr>
      <w:r>
        <w:t xml:space="preserve">Architecture technique de la solution</w:t>
      </w:r>
    </w:p>
    <w:p>
      <w:pPr>
        <w:pStyle w:val="FirstParagraph"/>
      </w:pPr>
      <w:r>
        <w:t xml:space="preserve">Après le choix des outils, l’architecture technique précise la manière dont ces</w:t>
      </w:r>
      <w:r>
        <w:t xml:space="preserve"> </w:t>
      </w:r>
      <w:r>
        <w:t xml:space="preserve">technologies sont assemblées pour faire fonctionner la plateforme. Elle met en relation</w:t>
      </w:r>
      <w:r>
        <w:t xml:space="preserve"> </w:t>
      </w:r>
      <w:r>
        <w:t xml:space="preserve">les applications web, la passerelle API, les microservices, les bases de données et les</w:t>
      </w:r>
      <w:r>
        <w:t xml:space="preserve"> </w:t>
      </w:r>
      <w:r>
        <w:t xml:space="preserve">composants transversaux nécessaires à la sécurité, à la communication et à</w:t>
      </w:r>
      <w:r>
        <w:t xml:space="preserve"> </w:t>
      </w:r>
      <w:r>
        <w:t xml:space="preserve">l’observabilité.</w:t>
      </w:r>
    </w:p>
    <w:p>
      <w:pPr>
        <w:pStyle w:val="BodyText"/>
      </w:pPr>
      <w:r>
        <w:t xml:space="preserve">Dans cette architecture, les applications front-office et back-office consomment les API</w:t>
      </w:r>
      <w:r>
        <w:t xml:space="preserve"> </w:t>
      </w:r>
      <w:r>
        <w:t xml:space="preserve">exposées par la passerelle. Celle-ci constitue le point d’entrée technique vers les</w:t>
      </w:r>
      <w:r>
        <w:t xml:space="preserve"> </w:t>
      </w:r>
      <w:r>
        <w:t xml:space="preserve">services internes et applique les règles de sécurité et de routage. Les microservices</w:t>
      </w:r>
      <w:r>
        <w:t xml:space="preserve"> </w:t>
      </w:r>
      <w:r>
        <w:t xml:space="preserve">métier, dont le service Relation Client et le service SGI, disposent chacun de leur propre</w:t>
      </w:r>
      <w:r>
        <w:t xml:space="preserve"> </w:t>
      </w:r>
      <w:r>
        <w:t xml:space="preserve">persistance et communiquent avec les services transversaux selon les besoins de leurs</w:t>
      </w:r>
      <w:r>
        <w:t xml:space="preserve"> </w:t>
      </w:r>
      <w:r>
        <w:t xml:space="preserve">traitements.</w:t>
      </w:r>
    </w:p>
    <w:p>
      <w:pPr>
        <w:pStyle w:val="BodyText"/>
      </w:pPr>
      <w:r>
        <w:t xml:space="preserve">Cette organisation permet de matérialiser les principes définis précédemment tout en</w:t>
      </w:r>
      <w:r>
        <w:t xml:space="preserve"> </w:t>
      </w:r>
      <w:r>
        <w:t xml:space="preserve">préparant le passage vers la conception détaillée des fonctionnalités. La</w:t>
      </w:r>
      <w:r>
        <w:t xml:space="preserve"> </w:t>
      </w:r>
      <w:r>
        <w:t xml:space="preserve">figure </w:t>
      </w:r>
      <w:hyperlink w:anchor="fig:architecture_technique">
        <w:r>
          <w:rPr>
            <w:rStyle w:val="Hyperlink"/>
          </w:rPr>
          <w:t xml:space="preserve">3.2</w:t>
        </w:r>
      </w:hyperlink>
      <w:r>
        <w:t xml:space="preserve"> </w:t>
      </w:r>
      <w:r>
        <w:t xml:space="preserve">montre les liens entre les technologies retenues</w:t>
      </w:r>
      <w:r>
        <w:t xml:space="preserve"> </w:t>
      </w:r>
      <w:r>
        <w:t xml:space="preserve">et les composants applicatifs.</w:t>
      </w:r>
    </w:p>
    <w:bookmarkStart w:id="69" w:name="fig:architecture_technique"/>
    <w:tbl>
      <w:tblPr>
        <w:tblStyle w:val="FigureTable"/>
        <w:tblW w:type="auto" w:w="0"/>
        <w:jc w:val="center"/>
        <w:tblLook w:firstRow="0" w:lastRow="0" w:firstColumn="0" w:lastColumn="0"/>
      </w:tblPr>
      <w:tblGrid/>
    </w:tbl>
    <w:p>
      <w:pPr>
        <w:pStyle w:val="ImageCaption"/>
      </w:pPr>
      <w:r>
        <w:t xml:space="preserve">Architecture technique de la plateforme I-SIB</w:t>
      </w:r>
    </w:p>
    <w:bookmarkEnd w:id="69"/>
    <w:bookmarkEnd w:id="70"/>
    <w:bookmarkStart w:id="78" w:name="conception-détaillée"/>
    <w:p>
      <w:pPr>
        <w:pStyle w:val="Heading2"/>
      </w:pPr>
      <w:r>
        <w:t xml:space="preserve">Conception détaillée</w:t>
      </w:r>
    </w:p>
    <w:p>
      <w:pPr>
        <w:pStyle w:val="FirstParagraph"/>
      </w:pPr>
      <w:r>
        <w:t xml:space="preserve">Après la présentation des architectures fonctionnelle et technique, cette section détaille</w:t>
      </w:r>
      <w:r>
        <w:t xml:space="preserve"> </w:t>
      </w:r>
      <w:r>
        <w:t xml:space="preserve">le fonctionnement interne d’un scénario représentatif du module Relation Client :</w:t>
      </w:r>
      <w:r>
        <w:t xml:space="preserve"> </w:t>
      </w:r>
      <w:r>
        <w:rPr>
          <w:b/>
          <w:bCs/>
        </w:rPr>
        <w:t xml:space="preserve">la création d’un prospect</w:t>
      </w:r>
      <w:r>
        <w:t xml:space="preserve">. Ce choix permet d’illustrer, de manière ciblée,</w:t>
      </w:r>
      <w:r>
        <w:t xml:space="preserve"> </w:t>
      </w:r>
      <w:r>
        <w:t xml:space="preserve">le cheminement d’une demande depuis l’interface back-office jusqu’aux services backend,</w:t>
      </w:r>
      <w:r>
        <w:t xml:space="preserve"> </w:t>
      </w:r>
      <w:r>
        <w:t xml:space="preserve">en passant par la passerelle API, le service CRM et sa persistance, le scoring par</w:t>
      </w:r>
      <w:r>
        <w:t xml:space="preserve"> </w:t>
      </w:r>
      <w:r>
        <w:t xml:space="preserve">intelligence artificielle et la traçabilité.</w:t>
      </w:r>
    </w:p>
    <w:p>
      <w:pPr>
        <w:pStyle w:val="BodyText"/>
      </w:pPr>
      <w:r>
        <w:t xml:space="preserve">La section présente successivement le périmètre du scénario retenu, le workflow</w:t>
      </w:r>
      <w:r>
        <w:t xml:space="preserve"> </w:t>
      </w:r>
      <w:r>
        <w:t xml:space="preserve">de création illustré par une figure, une synthèse des principales API mobilisées,</w:t>
      </w:r>
      <w:r>
        <w:t xml:space="preserve"> </w:t>
      </w:r>
      <w:r>
        <w:t xml:space="preserve">puis une vue de conception montrant les artefacts concernés et leurs relations.</w:t>
      </w:r>
    </w:p>
    <w:bookmarkStart w:id="71" w:name="périmètre-du-scénario"/>
    <w:p>
      <w:pPr>
        <w:pStyle w:val="Heading3"/>
      </w:pPr>
      <w:r>
        <w:t xml:space="preserve">Périmètre du scénario</w:t>
      </w:r>
    </w:p>
    <w:p>
      <w:pPr>
        <w:pStyle w:val="FirstParagraph"/>
      </w:pPr>
      <w:r>
        <w:t xml:space="preserve">Le scénario étudié correspond à l’enregistrement initial d’un prospect par le</w:t>
      </w:r>
      <w:r>
        <w:t xml:space="preserve"> </w:t>
      </w:r>
      <w:r>
        <w:t xml:space="preserve">chargé de clientèle. Il couvre la saisie des informations commerciales, la</w:t>
      </w:r>
      <w:r>
        <w:t xml:space="preserve"> </w:t>
      </w:r>
      <w:r>
        <w:t xml:space="preserve">transmission de la demande au backend, la création de l’enregistrement dans le</w:t>
      </w:r>
      <w:r>
        <w:t xml:space="preserve"> </w:t>
      </w:r>
      <w:r>
        <w:t xml:space="preserve">service CRM, le calcul d’un score initial et la publication d’une trace d’audit.</w:t>
      </w:r>
      <w:r>
        <w:t xml:space="preserve"> </w:t>
      </w:r>
      <w:r>
        <w:t xml:space="preserve">Les évolutions ultérieures du dossier prospect ne sont pas détaillées dans cette</w:t>
      </w:r>
      <w:r>
        <w:t xml:space="preserve"> </w:t>
      </w:r>
      <w:r>
        <w:t xml:space="preserve">conception afin de garder un périmètre maîtrisé.</w:t>
      </w:r>
    </w:p>
    <w:bookmarkEnd w:id="71"/>
    <w:bookmarkStart w:id="73" w:name="workflow-de-création"/>
    <w:p>
      <w:pPr>
        <w:pStyle w:val="Heading3"/>
      </w:pPr>
      <w:r>
        <w:t xml:space="preserve">Workflow de création</w:t>
      </w:r>
    </w:p>
    <w:p>
      <w:pPr>
        <w:pStyle w:val="FirstParagraph"/>
      </w:pPr>
      <w:r>
        <w:t xml:space="preserve">La création d’un prospect commence par la saisie des informations dans la vue Prospects.</w:t>
      </w:r>
      <w:r>
        <w:t xml:space="preserve"> </w:t>
      </w:r>
      <w:r>
        <w:t xml:space="preserve">La demande est transmise à la passerelle API, puis routée vers le service CRM. Celui-ci</w:t>
      </w:r>
      <w:r>
        <w:t xml:space="preserve"> </w:t>
      </w:r>
      <w:r>
        <w:t xml:space="preserve">contrôle les informations reçues, persiste le prospect, sollicite le service de scoring IA</w:t>
      </w:r>
      <w:r>
        <w:t xml:space="preserve"> </w:t>
      </w:r>
      <w:r>
        <w:t xml:space="preserve">et publie une trace d’audit. La figure </w:t>
      </w:r>
      <w:hyperlink w:anchor="fig:workflow_creation_prospect">
        <w:r>
          <w:rPr>
            <w:rStyle w:val="Hyperlink"/>
          </w:rPr>
          <w:t xml:space="preserve">3.3</w:t>
        </w:r>
      </w:hyperlink>
      <w:r>
        <w:t xml:space="preserve"> </w:t>
      </w:r>
      <w:r>
        <w:t xml:space="preserve">illustre ce</w:t>
      </w:r>
      <w:r>
        <w:t xml:space="preserve"> </w:t>
      </w:r>
      <w:r>
        <w:t xml:space="preserve">scénario.</w:t>
      </w:r>
    </w:p>
    <w:bookmarkStart w:id="72" w:name="fig:workflow_creation_prospect"/>
    <w:tbl>
      <w:tblPr>
        <w:tblStyle w:val="FigureTable"/>
        <w:tblW w:type="auto" w:w="0"/>
        <w:jc w:val="center"/>
        <w:tblLook w:firstRow="0" w:lastRow="0" w:firstColumn="0" w:lastColumn="0"/>
      </w:tblPr>
      <w:tblGrid/>
    </w:tbl>
    <w:p>
      <w:pPr>
        <w:pStyle w:val="ImageCaption"/>
      </w:pPr>
      <w:r>
        <w:t xml:space="preserve">Workflow de création d’un prospect avec scoring IA</w:t>
      </w:r>
    </w:p>
    <w:bookmarkEnd w:id="72"/>
    <w:p>
      <w:pPr>
        <w:pStyle w:val="BodyText"/>
      </w:pPr>
      <w:r>
        <w:t xml:space="preserve">La figure distingue le</w:t>
      </w:r>
      <w:r>
        <w:t xml:space="preserve"> </w:t>
      </w:r>
      <w:r>
        <w:rPr>
          <w:b/>
          <w:bCs/>
        </w:rPr>
        <w:t xml:space="preserve">Service CRM</w:t>
      </w:r>
      <w:r>
        <w:t xml:space="preserve"> </w:t>
      </w:r>
      <w:r>
        <w:t xml:space="preserve">de sa</w:t>
      </w:r>
      <w:r>
        <w:t xml:space="preserve"> </w:t>
      </w:r>
      <w:r>
        <w:rPr>
          <w:b/>
          <w:bCs/>
        </w:rPr>
        <w:t xml:space="preserve">Base de données CRM</w:t>
      </w:r>
      <w:r>
        <w:t xml:space="preserve">.</w:t>
      </w:r>
    </w:p>
    <w:bookmarkEnd w:id="73"/>
    <w:bookmarkStart w:id="75" w:name="synthèse-des-api"/>
    <w:p>
      <w:pPr>
        <w:pStyle w:val="Heading3"/>
      </w:pPr>
      <w:r>
        <w:t xml:space="preserve">Synthèse des API</w:t>
      </w:r>
    </w:p>
    <w:p>
      <w:pPr>
        <w:pStyle w:val="FirstParagraph"/>
      </w:pPr>
      <w:r>
        <w:t xml:space="preserve">Les opérations utiles au scénario sont exposées sous forme d’API REST sécurisées et</w:t>
      </w:r>
      <w:r>
        <w:t xml:space="preserve"> </w:t>
      </w:r>
      <w:r>
        <w:t xml:space="preserve">résumées dans le tableau </w:t>
      </w:r>
      <w:hyperlink w:anchor="tab:endpoints_prospect">
        <w:r>
          <w:rPr>
            <w:rStyle w:val="Hyperlink"/>
          </w:rPr>
          <w:t xml:space="preserve">3.1</w:t>
        </w:r>
      </w:hyperlink>
      <w:r>
        <w:t xml:space="preserve">.</w:t>
      </w:r>
    </w:p>
    <w:bookmarkStart w:id="74" w:name="tab:endpoints_prospect"/>
    <w:p>
      <w:pPr>
        <w:pStyle w:val="TableCaption"/>
      </w:pPr>
      <w:r>
        <w:t xml:space="preserve">API mobilisées pour la création d’un prospect</w:t>
      </w:r>
    </w:p>
    <w:tbl>
      <w:tblPr>
        <w:tblStyle w:val="Table"/>
        <w:tblW w:type="auto" w:w="0"/>
        <w:tblLook w:firstRow="1" w:lastRow="0" w:firstColumn="0" w:lastColumn="0" w:noHBand="0" w:noVBand="0" w:val="0020"/>
        <w:tblCaption w:val="API mobilisées pour la création d’un prospect"/>
      </w:tblPr>
      <w:tblGrid>
        <w:gridCol w:w="2640"/>
        <w:gridCol w:w="2640"/>
        <w:gridCol w:w="2640"/>
      </w:tblGrid>
      <w:tr>
        <w:trPr>
          <w:tblHeader w:val="on"/>
        </w:trPr>
        <w:tc>
          <w:tcPr/>
          <w:p>
            <w:pPr>
              <w:pStyle w:val="Compact"/>
              <w:jc w:val="left"/>
            </w:pPr>
            <w:r>
              <w:rPr>
                <w:b/>
                <w:bCs/>
              </w:rPr>
              <w:t xml:space="preserve">Méthode</w:t>
            </w:r>
          </w:p>
        </w:tc>
        <w:tc>
          <w:tcPr/>
          <w:p>
            <w:pPr>
              <w:pStyle w:val="Compact"/>
              <w:jc w:val="left"/>
            </w:pPr>
            <w:r>
              <w:rPr>
                <w:b/>
                <w:bCs/>
              </w:rPr>
              <w:t xml:space="preserve">Chemin</w:t>
            </w:r>
          </w:p>
        </w:tc>
        <w:tc>
          <w:tcPr/>
          <w:p>
            <w:pPr>
              <w:pStyle w:val="Compact"/>
              <w:jc w:val="left"/>
            </w:pPr>
            <w:r>
              <w:rPr>
                <w:b/>
                <w:bCs/>
              </w:rPr>
              <w:t xml:space="preserve">Utilisation principale</w:t>
            </w:r>
          </w:p>
        </w:tc>
      </w:tr>
      <w:tr>
        <w:tc>
          <w:tcPr/>
          <w:p>
            <w:pPr>
              <w:pStyle w:val="Compact"/>
              <w:jc w:val="left"/>
            </w:pPr>
            <w:r>
              <w:t xml:space="preserve">POST</w:t>
            </w:r>
          </w:p>
        </w:tc>
        <w:tc>
          <w:tcPr/>
          <w:p>
            <w:pPr>
              <w:pStyle w:val="Compact"/>
              <w:jc w:val="left"/>
            </w:pPr>
            <w:r>
              <w:rPr>
                <w:rStyle w:val="VerbatimChar"/>
              </w:rPr>
              <w:t xml:space="preserve">/api/crm/prospects</w:t>
            </w:r>
          </w:p>
        </w:tc>
        <w:tc>
          <w:tcPr/>
          <w:p>
            <w:pPr>
              <w:pStyle w:val="Compact"/>
              <w:jc w:val="left"/>
            </w:pPr>
            <w:r>
              <w:t xml:space="preserve">Enregistrer un nouveau prospect</w:t>
            </w:r>
          </w:p>
        </w:tc>
      </w:tr>
      <w:tr>
        <w:tc>
          <w:tcPr/>
          <w:p>
            <w:pPr>
              <w:pStyle w:val="Compact"/>
              <w:jc w:val="left"/>
            </w:pPr>
            <w:r>
              <w:t xml:space="preserve">GET</w:t>
            </w:r>
          </w:p>
        </w:tc>
        <w:tc>
          <w:tcPr/>
          <w:p>
            <w:pPr>
              <w:pStyle w:val="Compact"/>
              <w:jc w:val="left"/>
            </w:pPr>
            <w:r>
              <w:rPr>
                <w:rStyle w:val="VerbatimChar"/>
              </w:rPr>
              <w:t xml:space="preserve">/api/crm/prospects/my-prospects</w:t>
            </w:r>
          </w:p>
        </w:tc>
        <w:tc>
          <w:tcPr/>
          <w:p>
            <w:pPr>
              <w:pStyle w:val="Compact"/>
              <w:jc w:val="left"/>
            </w:pPr>
            <w:r>
              <w:t xml:space="preserve">Afficher le prospect créé dans la liste du chargé</w:t>
            </w:r>
          </w:p>
        </w:tc>
      </w:tr>
      <w:tr>
        <w:tc>
          <w:tcPr/>
          <w:p>
            <w:pPr>
              <w:pStyle w:val="Compact"/>
              <w:jc w:val="left"/>
            </w:pPr>
            <w:r>
              <w:t xml:space="preserve">GET</w:t>
            </w:r>
          </w:p>
        </w:tc>
        <w:tc>
          <w:tcPr/>
          <w:p>
            <w:pPr>
              <w:pStyle w:val="Compact"/>
              <w:jc w:val="left"/>
            </w:pPr>
            <w:r>
              <w:rPr>
                <w:rStyle w:val="VerbatimChar"/>
              </w:rPr>
              <w:t xml:space="preserve">/api/crm/prospects/{id}</w:t>
            </w:r>
          </w:p>
        </w:tc>
        <w:tc>
          <w:tcPr/>
          <w:p>
            <w:pPr>
              <w:pStyle w:val="Compact"/>
              <w:jc w:val="left"/>
            </w:pPr>
            <w:r>
              <w:t xml:space="preserve">Consulter la fiche créée et son score initial</w:t>
            </w:r>
          </w:p>
        </w:tc>
      </w:tr>
    </w:tbl>
    <w:bookmarkEnd w:id="74"/>
    <w:bookmarkEnd w:id="75"/>
    <w:bookmarkStart w:id="77" w:name="vue-de-conception-du-scénario"/>
    <w:p>
      <w:pPr>
        <w:pStyle w:val="Heading3"/>
      </w:pPr>
      <w:r>
        <w:t xml:space="preserve">Vue de conception du scénario</w:t>
      </w:r>
    </w:p>
    <w:p>
      <w:pPr>
        <w:pStyle w:val="FirstParagraph"/>
      </w:pPr>
      <w:r>
        <w:t xml:space="preserve">La figure </w:t>
      </w:r>
      <w:hyperlink w:anchor="fig:conception_creation_prospect">
        <w:r>
          <w:rPr>
            <w:rStyle w:val="Hyperlink"/>
          </w:rPr>
          <w:t xml:space="preserve">3.4</w:t>
        </w:r>
      </w:hyperlink>
      <w:r>
        <w:t xml:space="preserve"> </w:t>
      </w:r>
      <w:r>
        <w:t xml:space="preserve">complète le workflow en</w:t>
      </w:r>
      <w:r>
        <w:t xml:space="preserve"> </w:t>
      </w:r>
      <w:r>
        <w:t xml:space="preserve">reliant les interfaces</w:t>
      </w:r>
      <w:r>
        <w:t xml:space="preserve"> </w:t>
      </w:r>
      <w:r>
        <w:rPr>
          <w:i/>
          <w:iCs/>
        </w:rPr>
        <w:t xml:space="preserve">boundary</w:t>
      </w:r>
      <w:r>
        <w:t xml:space="preserve">, les composants de coordination</w:t>
      </w:r>
      <w:r>
        <w:t xml:space="preserve"> </w:t>
      </w:r>
      <w:r>
        <w:rPr>
          <w:i/>
          <w:iCs/>
        </w:rPr>
        <w:t xml:space="preserve">control</w:t>
      </w:r>
      <w:r>
        <w:t xml:space="preserve"> </w:t>
      </w:r>
      <w:r>
        <w:t xml:space="preserve">et les données métier</w:t>
      </w:r>
      <w:r>
        <w:t xml:space="preserve"> </w:t>
      </w:r>
      <w:r>
        <w:rPr>
          <w:i/>
          <w:iCs/>
        </w:rPr>
        <w:t xml:space="preserve">entity</w:t>
      </w:r>
      <w:r>
        <w:t xml:space="preserve">, selon les</w:t>
      </w:r>
      <w:r>
        <w:t xml:space="preserve"> </w:t>
      </w:r>
      <w:r>
        <w:t xml:space="preserve">stéréotypes de Jacobson</w:t>
      </w:r>
      <w:r>
        <w:t xml:space="preserve"> </w:t>
      </w:r>
      <w:r>
        <w:t xml:space="preserve">.</w:t>
      </w:r>
    </w:p>
    <w:bookmarkStart w:id="76" w:name="fig:conception_creation_prospect"/>
    <w:tbl>
      <w:tblPr>
        <w:tblStyle w:val="FigureTable"/>
        <w:tblW w:type="auto" w:w="0"/>
        <w:jc w:val="center"/>
        <w:tblLook w:firstRow="0" w:lastRow="0" w:firstColumn="0" w:lastColumn="0"/>
      </w:tblPr>
      <w:tblGrid/>
    </w:tbl>
    <w:p>
      <w:pPr>
        <w:pStyle w:val="ImageCaption"/>
      </w:pPr>
      <w:r>
        <w:t xml:space="preserve">Vue de conception du scénario Création d’un prospect</w:t>
      </w:r>
    </w:p>
    <w:bookmarkEnd w:id="76"/>
    <w:p>
      <w:pPr>
        <w:pStyle w:val="BodyText"/>
      </w:pPr>
      <w:r>
        <w:t xml:space="preserve">Ainsi, la conception détaillée de la création d’un prospect montre comment un</w:t>
      </w:r>
      <w:r>
        <w:t xml:space="preserve"> </w:t>
      </w:r>
      <w:r>
        <w:t xml:space="preserve">scénario métier s’appuie sur les couches définies précédemment : interface,</w:t>
      </w:r>
      <w:r>
        <w:t xml:space="preserve"> </w:t>
      </w:r>
      <w:r>
        <w:t xml:space="preserve">passerelle, service métier, données, intelligence artificielle et audit.</w:t>
      </w:r>
    </w:p>
    <w:bookmarkEnd w:id="77"/>
    <w:bookmarkEnd w:id="78"/>
    <w:bookmarkStart w:id="80" w:name="architecture-de-déploiement"/>
    <w:p>
      <w:pPr>
        <w:pStyle w:val="Heading2"/>
      </w:pPr>
      <w:r>
        <w:t xml:space="preserve">Architecture de déploiement</w:t>
      </w:r>
    </w:p>
    <w:p>
      <w:pPr>
        <w:pStyle w:val="FirstParagraph"/>
      </w:pPr>
      <w:r>
        <w:t xml:space="preserve">La vue logique de l’architecture est complétée par l’architecture mise en place</w:t>
      </w:r>
      <w:r>
        <w:t xml:space="preserve"> </w:t>
      </w:r>
      <w:r>
        <w:t xml:space="preserve">dans l’environnement de validation. La plateforme actuellement réalisée est</w:t>
      </w:r>
      <w:r>
        <w:t xml:space="preserve"> </w:t>
      </w:r>
      <w:r>
        <w:t xml:space="preserve">déployée sur un VPS AlmaLinux afin de tester progressivement les services</w:t>
      </w:r>
      <w:r>
        <w:t xml:space="preserve"> </w:t>
      </w:r>
      <w:r>
        <w:t xml:space="preserve">disponibles à mesure que le périmètre fonctionnel évolue. Cette seconde lecture</w:t>
      </w:r>
      <w:r>
        <w:t xml:space="preserve"> </w:t>
      </w:r>
      <w:r>
        <w:t xml:space="preserve">présente l’organisation des composants et la séparation des réseaux Docker.</w:t>
      </w:r>
    </w:p>
    <w:p>
      <w:pPr>
        <w:pStyle w:val="BodyText"/>
      </w:pPr>
      <w:r>
        <w:t xml:space="preserve">Dans cet environnement de test, la plateforme I-SIB est décomposée en quatre</w:t>
      </w:r>
      <w:r>
        <w:t xml:space="preserve"> </w:t>
      </w:r>
      <w:r>
        <w:t xml:space="preserve">ensembles Docker Compose indépendants. Cette organisation suit une logique de</w:t>
      </w:r>
      <w:r>
        <w:t xml:space="preserve"> </w:t>
      </w:r>
      <w:r>
        <w:t xml:space="preserve">séparation des responsabilités au niveau infrastructurel : chaque ensemble peut</w:t>
      </w:r>
      <w:r>
        <w:t xml:space="preserve"> </w:t>
      </w:r>
      <w:r>
        <w:t xml:space="preserve">faire l’objet d’une mise à jour ciblée, en tenant compte de ses dépendances. Les ensembles</w:t>
      </w:r>
      <w:r>
        <w:t xml:space="preserve"> </w:t>
      </w:r>
      <w:r>
        <w:rPr>
          <w:rStyle w:val="VerbatimChar"/>
        </w:rPr>
        <w:t xml:space="preserve">infra</w:t>
      </w:r>
      <w:r>
        <w:t xml:space="preserve">,</w:t>
      </w:r>
      <w:r>
        <w:t xml:space="preserve"> </w:t>
      </w:r>
      <w:r>
        <w:rPr>
          <w:rStyle w:val="VerbatimChar"/>
        </w:rPr>
        <w:t xml:space="preserve">core</w:t>
      </w:r>
      <w:r>
        <w:t xml:space="preserve">,</w:t>
      </w:r>
      <w:r>
        <w:t xml:space="preserve"> </w:t>
      </w:r>
      <w:r>
        <w:rPr>
          <w:rStyle w:val="VerbatimChar"/>
        </w:rPr>
        <w:t xml:space="preserve">module</w:t>
      </w:r>
      <w:r>
        <w:t xml:space="preserve"> </w:t>
      </w:r>
      <w:r>
        <w:t xml:space="preserve">et</w:t>
      </w:r>
      <w:r>
        <w:t xml:space="preserve"> </w:t>
      </w:r>
      <w:r>
        <w:rPr>
          <w:rStyle w:val="VerbatimChar"/>
        </w:rPr>
        <w:t xml:space="preserve">office</w:t>
      </w:r>
      <w:r>
        <w:t xml:space="preserve"> </w:t>
      </w:r>
      <w:r>
        <w:t xml:space="preserve">distinguent respectivement les services</w:t>
      </w:r>
      <w:r>
        <w:t xml:space="preserve"> </w:t>
      </w:r>
      <w:r>
        <w:t xml:space="preserve">communs, les référentiels de base, les modules métier avancés et les interfaces</w:t>
      </w:r>
      <w:r>
        <w:t xml:space="preserve"> </w:t>
      </w:r>
      <w:r>
        <w:t xml:space="preserve">utilisateur</w:t>
      </w:r>
      <w:r>
        <w:t xml:space="preserve"> </w:t>
      </w:r>
      <w:r>
        <w:t xml:space="preserve">.</w:t>
      </w:r>
    </w:p>
    <w:p>
      <w:pPr>
        <w:pStyle w:val="BodyText"/>
      </w:pPr>
      <w:r>
        <w:t xml:space="preserve">Deux réseaux Docker structurent la communication entre les conteneurs. Le réseau</w:t>
      </w:r>
      <w:r>
        <w:t xml:space="preserve"> </w:t>
      </w:r>
      <w:r>
        <w:rPr>
          <w:rStyle w:val="VerbatimChar"/>
        </w:rPr>
        <w:t xml:space="preserve">sib_public</w:t>
      </w:r>
      <w:r>
        <w:t xml:space="preserve"> </w:t>
      </w:r>
      <w:r>
        <w:t xml:space="preserve">est réservé aux services accessibles depuis l’extérieur :</w:t>
      </w:r>
      <w:r>
        <w:t xml:space="preserve"> </w:t>
      </w:r>
      <w:r>
        <w:t xml:space="preserve">la passerelle API et les trois applications web. Le réseau</w:t>
      </w:r>
      <w:r>
        <w:t xml:space="preserve"> </w:t>
      </w:r>
      <w:r>
        <w:rPr>
          <w:rStyle w:val="VerbatimChar"/>
        </w:rPr>
        <w:t xml:space="preserve">sib_internal</w:t>
      </w:r>
      <w:r>
        <w:t xml:space="preserve"> </w:t>
      </w:r>
      <w:r>
        <w:t xml:space="preserve">regroupe l’ensemble des microservices et des bases de données, totalement isolés</w:t>
      </w:r>
      <w:r>
        <w:t xml:space="preserve"> </w:t>
      </w:r>
      <w:r>
        <w:t xml:space="preserve">de tout accès direct depuis l’extérieur. Seule la passerelle appartient aux deux</w:t>
      </w:r>
      <w:r>
        <w:t xml:space="preserve"> </w:t>
      </w:r>
      <w:r>
        <w:t xml:space="preserve">réseaux simultanément, faisant office de frontière de sécurité.</w:t>
      </w:r>
    </w:p>
    <w:p>
      <w:pPr>
        <w:pStyle w:val="BodyText"/>
      </w:pPr>
      <w:r>
        <w:t xml:space="preserve">La figure </w:t>
      </w:r>
      <w:hyperlink w:anchor="fig:architecture_deploiement">
        <w:r>
          <w:rPr>
            <w:rStyle w:val="Hyperlink"/>
          </w:rPr>
          <w:t xml:space="preserve">3.5</w:t>
        </w:r>
      </w:hyperlink>
      <w:r>
        <w:t xml:space="preserve"> </w:t>
      </w:r>
      <w:r>
        <w:t xml:space="preserve">reprend cette organisation sous forme</w:t>
      </w:r>
      <w:r>
        <w:t xml:space="preserve"> </w:t>
      </w:r>
      <w:r>
        <w:t xml:space="preserve">de schéma. Elle met en évidence la séparation entre les services exposés, les</w:t>
      </w:r>
      <w:r>
        <w:t xml:space="preserve"> </w:t>
      </w:r>
      <w:r>
        <w:t xml:space="preserve">services internes et le rôle particulier de la passerelle API entre les deux</w:t>
      </w:r>
      <w:r>
        <w:t xml:space="preserve"> </w:t>
      </w:r>
      <w:r>
        <w:t xml:space="preserve">réseaux.</w:t>
      </w:r>
    </w:p>
    <w:bookmarkStart w:id="79" w:name="fig:architecture_deploiement"/>
    <w:tbl>
      <w:tblPr>
        <w:tblStyle w:val="FigureTable"/>
        <w:tblW w:type="auto" w:w="0"/>
        <w:jc w:val="center"/>
        <w:tblLook w:firstRow="0" w:lastRow="0" w:firstColumn="0" w:lastColumn="0"/>
      </w:tblPr>
      <w:tblGrid/>
    </w:tbl>
    <w:p>
      <w:pPr>
        <w:pStyle w:val="ImageCaption"/>
      </w:pPr>
      <w:r>
        <w:t xml:space="preserve">Déploiement de validation d’I-SIB sur un VPS AlmaLinux</w:t>
      </w:r>
    </w:p>
    <w:bookmarkEnd w:id="79"/>
    <w:p>
      <w:pPr>
        <w:pStyle w:val="BodyText"/>
      </w:pPr>
      <w:r>
        <w:t xml:space="preserve">L’ordre de démarrage suit les dépendances entre ensembles :</w:t>
      </w:r>
      <w:r>
        <w:t xml:space="preserve"> </w:t>
      </w:r>
      <w:r>
        <w:rPr>
          <w:rStyle w:val="VerbatimChar"/>
        </w:rPr>
        <w:t xml:space="preserve">infra</w:t>
      </w:r>
      <w:r>
        <w:t xml:space="preserve">,</w:t>
      </w:r>
      <w:r>
        <w:t xml:space="preserve"> </w:t>
      </w:r>
      <w:r>
        <w:t xml:space="preserve">puis</w:t>
      </w:r>
      <w:r>
        <w:t xml:space="preserve"> </w:t>
      </w:r>
      <w:r>
        <w:rPr>
          <w:rStyle w:val="VerbatimChar"/>
        </w:rPr>
        <w:t xml:space="preserve">core</w:t>
      </w:r>
      <w:r>
        <w:t xml:space="preserve">,</w:t>
      </w:r>
      <w:r>
        <w:t xml:space="preserve"> </w:t>
      </w:r>
      <w:r>
        <w:rPr>
          <w:rStyle w:val="VerbatimChar"/>
        </w:rPr>
        <w:t xml:space="preserve">module</w:t>
      </w:r>
      <w:r>
        <w:t xml:space="preserve"> </w:t>
      </w:r>
      <w:r>
        <w:t xml:space="preserve">et</w:t>
      </w:r>
      <w:r>
        <w:t xml:space="preserve"> </w:t>
      </w:r>
      <w:r>
        <w:rPr>
          <w:rStyle w:val="VerbatimChar"/>
        </w:rPr>
        <w:t xml:space="preserve">office</w:t>
      </w:r>
      <w:r>
        <w:t xml:space="preserve">. Après une évolution</w:t>
      </w:r>
      <w:r>
        <w:t xml:space="preserve"> </w:t>
      </w:r>
      <w:r>
        <w:t xml:space="preserve">validée, la chaîne de livraison permet de reconstruire et de redéployer les</w:t>
      </w:r>
      <w:r>
        <w:t xml:space="preserve"> </w:t>
      </w:r>
      <w:r>
        <w:t xml:space="preserve">composants concernés sur le VPS. Cet environnement sert à la validation</w:t>
      </w:r>
      <w:r>
        <w:t xml:space="preserve"> </w:t>
      </w:r>
      <w:r>
        <w:t xml:space="preserve">progressive de la solution et reste distinct de la production ; ses preuves</w:t>
      </w:r>
      <w:r>
        <w:t xml:space="preserve"> </w:t>
      </w:r>
      <w:r>
        <w:t xml:space="preserve">techniques sont présentées en annexe </w:t>
      </w:r>
      <w:hyperlink w:anchor="ann:validation-deploiement">
        <w:r>
          <w:rPr>
            <w:rStyle w:val="Hyperlink"/>
          </w:rPr>
          <w:t xml:space="preserve">[ann:validation-deploiement]</w:t>
        </w:r>
      </w:hyperlink>
      <w:r>
        <w:t xml:space="preserve">.</w:t>
      </w:r>
    </w:p>
    <w:bookmarkEnd w:id="80"/>
    <w:bookmarkStart w:id="81" w:name="conclusion-2"/>
    <w:p>
      <w:pPr>
        <w:pStyle w:val="Heading2"/>
      </w:pPr>
      <w:r>
        <w:t xml:space="preserve">Conclusion</w:t>
      </w:r>
    </w:p>
    <w:p>
      <w:pPr>
        <w:pStyle w:val="FirstParagraph"/>
      </w:pPr>
      <w:r>
        <w:t xml:space="preserve">Ce chapitre a défini les architectures fonctionnelle et technique d’I-SIB,</w:t>
      </w:r>
      <w:r>
        <w:t xml:space="preserve"> </w:t>
      </w:r>
      <w:r>
        <w:t xml:space="preserve">puis détaillé la gestion des prospects comme fonctionnalité représentative du</w:t>
      </w:r>
      <w:r>
        <w:t xml:space="preserve"> </w:t>
      </w:r>
      <w:r>
        <w:t xml:space="preserve">module Relation Client. Le déploiement sur VPS AlmaLinux concrétise un</w:t>
      </w:r>
      <w:r>
        <w:t xml:space="preserve"> </w:t>
      </w:r>
      <w:r>
        <w:t xml:space="preserve">environnement de validation reproductible, sans être assimilé à la production.</w:t>
      </w:r>
      <w:r>
        <w:t xml:space="preserve"> </w:t>
      </w:r>
      <w:r>
        <w:t xml:space="preserve">Le chapitre suivant présente les résultats obtenus et les limites restant à</w:t>
      </w:r>
      <w:r>
        <w:t xml:space="preserve"> </w:t>
      </w:r>
      <w:r>
        <w:t xml:space="preserve">traiter avant cette évolution.</w:t>
      </w:r>
    </w:p>
    <w:bookmarkEnd w:id="81"/>
    <w:bookmarkEnd w:id="82"/>
    <w:bookmarkStart w:id="98" w:name="X7b754854b511db320f9f198029eb3f7bebc0387"/>
    <w:p>
      <w:pPr>
        <w:pStyle w:val="Heading1"/>
      </w:pPr>
      <w:r>
        <w:t xml:space="preserve">Présentation des résultats et analyse critique</w:t>
      </w:r>
    </w:p>
    <w:bookmarkStart w:id="83" w:name="introduction-3"/>
    <w:p>
      <w:pPr>
        <w:pStyle w:val="Heading2"/>
      </w:pPr>
      <w:r>
        <w:t xml:space="preserve">Introduction</w:t>
      </w:r>
    </w:p>
    <w:p>
      <w:pPr>
        <w:pStyle w:val="FirstParagraph"/>
      </w:pPr>
      <w:r>
        <w:t xml:space="preserve">Ce chapitre présente les résultats concrets obtenus à l’issue de la phase de</w:t>
      </w:r>
      <w:r>
        <w:t xml:space="preserve"> </w:t>
      </w:r>
      <w:r>
        <w:t xml:space="preserve">réalisation. Son objectif n’est pas de reprendre la conception technique déjà</w:t>
      </w:r>
      <w:r>
        <w:t xml:space="preserve"> </w:t>
      </w:r>
      <w:r>
        <w:t xml:space="preserve">présentée au chapitre précédent, mais de montrer comment les besoins exprimés</w:t>
      </w:r>
      <w:r>
        <w:t xml:space="preserve"> </w:t>
      </w:r>
      <w:r>
        <w:t xml:space="preserve">ont été concrétisés dans l’application</w:t>
      </w:r>
      <w:r>
        <w:t xml:space="preserve"> </w:t>
      </w:r>
      <w:r>
        <w:rPr>
          <w:b/>
          <w:bCs/>
        </w:rPr>
        <w:t xml:space="preserve">I-SIB</w:t>
      </w:r>
      <w:r>
        <w:t xml:space="preserve">. La lecture proposée est</w:t>
      </w:r>
      <w:r>
        <w:t xml:space="preserve"> </w:t>
      </w:r>
      <w:r>
        <w:t xml:space="preserve">donc principalement fonctionnelle : elle met en relation les objectifs du projet,</w:t>
      </w:r>
      <w:r>
        <w:t xml:space="preserve"> </w:t>
      </w:r>
      <w:r>
        <w:t xml:space="preserve">les interfaces livrées et les usages qu’elles permettent.</w:t>
      </w:r>
    </w:p>
    <w:p>
      <w:pPr>
        <w:pStyle w:val="BodyText"/>
      </w:pPr>
      <w:r>
        <w:t xml:space="preserve">Le chapitre est organisé en quatre parties. La première présente les résultats</w:t>
      </w:r>
      <w:r>
        <w:t xml:space="preserve"> </w:t>
      </w:r>
      <w:r>
        <w:t xml:space="preserve">obtenus pour le module</w:t>
      </w:r>
      <w:r>
        <w:t xml:space="preserve"> </w:t>
      </w:r>
      <w:r>
        <w:rPr>
          <w:b/>
          <w:bCs/>
        </w:rPr>
        <w:t xml:space="preserve">Relation Client</w:t>
      </w:r>
      <w:r>
        <w:t xml:space="preserve"> </w:t>
      </w:r>
      <w:r>
        <w:t xml:space="preserve">; les interfaces y sont utilisées</w:t>
      </w:r>
      <w:r>
        <w:t xml:space="preserve"> </w:t>
      </w:r>
      <w:r>
        <w:t xml:space="preserve">comme supports d’illustration afin de montrer comment les fonctionnalités se</w:t>
      </w:r>
      <w:r>
        <w:t xml:space="preserve"> </w:t>
      </w:r>
      <w:r>
        <w:t xml:space="preserve">traduisent dans l’application. La deuxième adopte la même logique pour le module</w:t>
      </w:r>
      <w:r>
        <w:t xml:space="preserve"> </w:t>
      </w:r>
      <w:r>
        <w:rPr>
          <w:b/>
          <w:bCs/>
        </w:rPr>
        <w:t xml:space="preserve">SGI</w:t>
      </w:r>
      <w:r>
        <w:t xml:space="preserve">, à travers la consultation des cotations et l’analyse des</w:t>
      </w:r>
      <w:r>
        <w:t xml:space="preserve"> </w:t>
      </w:r>
      <w:r>
        <w:t xml:space="preserve">palmarès de titres. La</w:t>
      </w:r>
      <w:r>
        <w:t xml:space="preserve"> </w:t>
      </w:r>
      <w:r>
        <w:t xml:space="preserve">troisième propose une synthèse de la couverture des objectifs spécifiques sous</w:t>
      </w:r>
      <w:r>
        <w:t xml:space="preserve"> </w:t>
      </w:r>
      <w:r>
        <w:t xml:space="preserve">forme de tableau. Enfin, la dernière partie porte un regard critique sur la</w:t>
      </w:r>
      <w:r>
        <w:t xml:space="preserve"> </w:t>
      </w:r>
      <w:r>
        <w:t xml:space="preserve">réalisation, en distinguant les points forts, les limites actuelles et les</w:t>
      </w:r>
      <w:r>
        <w:t xml:space="preserve"> </w:t>
      </w:r>
      <w:r>
        <w:t xml:space="preserve">perspectives d’amélioration.</w:t>
      </w:r>
    </w:p>
    <w:bookmarkEnd w:id="83"/>
    <w:bookmarkStart w:id="87" w:name="résultats-côté-relation-client"/>
    <w:p>
      <w:pPr>
        <w:pStyle w:val="Heading2"/>
      </w:pPr>
      <w:r>
        <w:t xml:space="preserve">Résultats côté Relation Client</w:t>
      </w:r>
    </w:p>
    <w:p>
      <w:pPr>
        <w:pStyle w:val="FirstParagraph"/>
      </w:pPr>
      <w:r>
        <w:t xml:space="preserve">Le module</w:t>
      </w:r>
      <w:r>
        <w:t xml:space="preserve"> </w:t>
      </w:r>
      <w:r>
        <w:rPr>
          <w:b/>
          <w:bCs/>
        </w:rPr>
        <w:t xml:space="preserve">Relation Client</w:t>
      </w:r>
      <w:r>
        <w:t xml:space="preserve"> </w:t>
      </w:r>
      <w:r>
        <w:t xml:space="preserve">regroupe l’ensemble des fonctionnalités</w:t>
      </w:r>
      <w:r>
        <w:t xml:space="preserve"> </w:t>
      </w:r>
      <w:r>
        <w:t xml:space="preserve">permettant de connaître, suivre et fidéliser les clients de la banque. La</w:t>
      </w:r>
      <w:r>
        <w:t xml:space="preserve"> </w:t>
      </w:r>
      <w:r>
        <w:t xml:space="preserve">présentation ne consiste donc pas à commenter uniquement des captures d’écran ;</w:t>
      </w:r>
      <w:r>
        <w:t xml:space="preserve"> </w:t>
      </w:r>
      <w:r>
        <w:t xml:space="preserve">elle décrit d’abord les fonctionnalités réalisées, puis utilise les interfaces</w:t>
      </w:r>
      <w:r>
        <w:t xml:space="preserve"> </w:t>
      </w:r>
      <w:r>
        <w:t xml:space="preserve">comme preuves visuelles de leur mise en œuvre. Deux résultats représentatifs</w:t>
      </w:r>
      <w:r>
        <w:t xml:space="preserve"> </w:t>
      </w:r>
      <w:r>
        <w:t xml:space="preserve">sont retenus pour structurer cette partie : le portefeuille clients et la</w:t>
      </w:r>
      <w:r>
        <w:t xml:space="preserve"> </w:t>
      </w:r>
      <w:r>
        <w:t xml:space="preserve">gestion des prospects.</w:t>
      </w:r>
    </w:p>
    <w:p>
      <w:pPr>
        <w:pStyle w:val="BodyText"/>
      </w:pPr>
      <w:r>
        <w:t xml:space="preserve">Les données personnelles visibles dans les interfaces de cette section sont des</w:t>
      </w:r>
      <w:r>
        <w:t xml:space="preserve"> </w:t>
      </w:r>
      <w:r>
        <w:t xml:space="preserve">données fictives de démonstration utilisées dans l’environnement de validation ;</w:t>
      </w:r>
      <w:r>
        <w:t xml:space="preserve"> </w:t>
      </w:r>
      <w:r>
        <w:t xml:space="preserve">elles ne correspondent pas à des clients réels.</w:t>
      </w:r>
    </w:p>
    <w:bookmarkStart w:id="85" w:name="portefeuille-clients"/>
    <w:p>
      <w:pPr>
        <w:pStyle w:val="Heading3"/>
      </w:pPr>
      <w:r>
        <w:t xml:space="preserve">Portefeuille clients</w:t>
      </w:r>
    </w:p>
    <w:p>
      <w:pPr>
        <w:pStyle w:val="FirstParagraph"/>
      </w:pPr>
      <w:r>
        <w:t xml:space="preserve">La fonctionnalité de portefeuille clients centralise la connaissance client et</w:t>
      </w:r>
      <w:r>
        <w:t xml:space="preserve"> </w:t>
      </w:r>
      <w:r>
        <w:t xml:space="preserve">offre au chargé de clientèle une vue de travail unique. Elle regroupe des</w:t>
      </w:r>
      <w:r>
        <w:t xml:space="preserve"> </w:t>
      </w:r>
      <w:r>
        <w:t xml:space="preserve">indicateurs synthétiques, la liste détaillée des clients, leur statut, leur</w:t>
      </w:r>
      <w:r>
        <w:t xml:space="preserve"> </w:t>
      </w:r>
      <w:r>
        <w:t xml:space="preserve">niveau de risque, leurs comptes, leurs produits et le risque de départ estimé</w:t>
      </w:r>
      <w:r>
        <w:t xml:space="preserve"> </w:t>
      </w:r>
      <w:r>
        <w:t xml:space="preserve">par le modèle d’IA. Les filtres et la recherche facilitent l’accès rapide à un</w:t>
      </w:r>
      <w:r>
        <w:t xml:space="preserve"> </w:t>
      </w:r>
      <w:r>
        <w:t xml:space="preserve">client précis.</w:t>
      </w:r>
    </w:p>
    <w:p>
      <w:pPr>
        <w:pStyle w:val="BodyText"/>
      </w:pPr>
      <w:r>
        <w:t xml:space="preserve">Cet écran matérialise deux objectifs : le</w:t>
      </w:r>
      <w:r>
        <w:t xml:space="preserve"> </w:t>
      </w:r>
      <w:r>
        <w:rPr>
          <w:b/>
          <w:bCs/>
        </w:rPr>
        <w:t xml:space="preserve">tableau de bord Relation</w:t>
      </w:r>
      <w:r>
        <w:rPr>
          <w:b/>
          <w:bCs/>
        </w:rPr>
        <w:t xml:space="preserve"> </w:t>
      </w:r>
      <w:r>
        <w:rPr>
          <w:b/>
          <w:bCs/>
        </w:rPr>
        <w:t xml:space="preserve">Client</w:t>
      </w:r>
      <w:r>
        <w:t xml:space="preserve"> </w:t>
      </w:r>
      <w:r>
        <w:t xml:space="preserve">adapté au chargé de clientèle et la</w:t>
      </w:r>
      <w:r>
        <w:t xml:space="preserve"> </w:t>
      </w:r>
      <w:r>
        <w:rPr>
          <w:b/>
          <w:bCs/>
        </w:rPr>
        <w:t xml:space="preserve">vue 360° client</w:t>
      </w:r>
      <w:r>
        <w:t xml:space="preserve"> </w:t>
      </w:r>
      <w:r>
        <w:t xml:space="preserve">sous sa</w:t>
      </w:r>
      <w:r>
        <w:t xml:space="preserve"> </w:t>
      </w:r>
      <w:r>
        <w:t xml:space="preserve">forme synthétique. La figure </w:t>
      </w:r>
      <w:hyperlink w:anchor="fig:portefeuille_clients">
        <w:r>
          <w:rPr>
            <w:rStyle w:val="Hyperlink"/>
          </w:rPr>
          <w:t xml:space="preserve">4.1</w:t>
        </w:r>
      </w:hyperlink>
      <w:r>
        <w:t xml:space="preserve"> </w:t>
      </w:r>
      <w:r>
        <w:t xml:space="preserve">présente cette vue</w:t>
      </w:r>
      <w:r>
        <w:t xml:space="preserve"> </w:t>
      </w:r>
      <w:r>
        <w:t xml:space="preserve">de portefeuille, qui sert de point d’entrée au suivi commercial.</w:t>
      </w:r>
    </w:p>
    <w:bookmarkStart w:id="84" w:name="fig:portefeuille_clients"/>
    <w:tbl>
      <w:tblPr>
        <w:tblStyle w:val="FigureTable"/>
        <w:tblW w:type="auto" w:w="0"/>
        <w:jc w:val="center"/>
        <w:tblLook w:firstRow="0" w:lastRow="0" w:firstColumn="0" w:lastColumn="0"/>
      </w:tblPr>
      <w:tblGrid/>
    </w:tbl>
    <w:p>
      <w:pPr>
        <w:pStyle w:val="ImageCaption"/>
      </w:pPr>
      <w:r>
        <w:t xml:space="preserve">Interface Portefeuille Clients du chargé de clientèle</w:t>
      </w:r>
    </w:p>
    <w:bookmarkEnd w:id="84"/>
    <w:bookmarkEnd w:id="85"/>
    <w:bookmarkStart w:id="86" w:name="gestion-des-prospects"/>
    <w:p>
      <w:pPr>
        <w:pStyle w:val="Heading3"/>
      </w:pPr>
      <w:r>
        <w:t xml:space="preserve">Gestion des prospects</w:t>
      </w:r>
    </w:p>
    <w:p>
      <w:pPr>
        <w:pStyle w:val="FirstParagraph"/>
      </w:pPr>
      <w:r>
        <w:t xml:space="preserve">La gestion des prospects assure le suivi du cycle commercial avant la conversion en client,</w:t>
      </w:r>
      <w:r>
        <w:t xml:space="preserve"> </w:t>
      </w:r>
      <w:r>
        <w:t xml:space="preserve">en présentant chaque prospect dans un pipeline avec son étape d’avancement, sa priorité et</w:t>
      </w:r>
      <w:r>
        <w:t xml:space="preserve"> </w:t>
      </w:r>
      <w:r>
        <w:t xml:space="preserve">son score IA. Le pipeline, ainsi que la recette de création et de conversion d’un prospect,</w:t>
      </w:r>
      <w:r>
        <w:t xml:space="preserve"> </w:t>
      </w:r>
      <w:r>
        <w:t xml:space="preserve">sont présentés en annexe </w:t>
      </w:r>
      <w:hyperlink w:anchor="ann:preuves-relation-client">
        <w:r>
          <w:rPr>
            <w:rStyle w:val="Hyperlink"/>
          </w:rPr>
          <w:t xml:space="preserve">[ann:preuves-relation-client]</w:t>
        </w:r>
      </w:hyperlink>
      <w:r>
        <w:t xml:space="preserve"> </w:t>
      </w:r>
      <w:r>
        <w:t xml:space="preserve">(figure </w:t>
      </w:r>
      <w:hyperlink w:anchor="fig:gestion_prospects">
        <w:r>
          <w:rPr>
            <w:rStyle w:val="Hyperlink"/>
          </w:rPr>
          <w:t xml:space="preserve">6.1</w:t>
        </w:r>
      </w:hyperlink>
      <w:r>
        <w:t xml:space="preserve">).</w:t>
      </w:r>
    </w:p>
    <w:bookmarkEnd w:id="86"/>
    <w:bookmarkEnd w:id="87"/>
    <w:bookmarkStart w:id="91" w:name="résultats-côté-sgi"/>
    <w:p>
      <w:pPr>
        <w:pStyle w:val="Heading2"/>
      </w:pPr>
      <w:r>
        <w:t xml:space="preserve">Résultats côté SGI</w:t>
      </w:r>
    </w:p>
    <w:p>
      <w:pPr>
        <w:pStyle w:val="FirstParagraph"/>
      </w:pPr>
      <w:r>
        <w:t xml:space="preserve">Le module</w:t>
      </w:r>
      <w:r>
        <w:t xml:space="preserve"> </w:t>
      </w:r>
      <w:r>
        <w:rPr>
          <w:b/>
          <w:bCs/>
        </w:rPr>
        <w:t xml:space="preserve">SGI</w:t>
      </w:r>
      <w:r>
        <w:t xml:space="preserve"> </w:t>
      </w:r>
      <w:r>
        <w:t xml:space="preserve">couvre les opérations d’investissement : portefeuilles,</w:t>
      </w:r>
      <w:r>
        <w:t xml:space="preserve"> </w:t>
      </w:r>
      <w:r>
        <w:t xml:space="preserve">cotations BRVM et passage d’ordres. Comme pour la Relation Client, les captures</w:t>
      </w:r>
      <w:r>
        <w:t xml:space="preserve"> </w:t>
      </w:r>
      <w:r>
        <w:t xml:space="preserve">ne sont pas présentées comme de simples écrans isolés ; elles servent à illustrer</w:t>
      </w:r>
      <w:r>
        <w:t xml:space="preserve"> </w:t>
      </w:r>
      <w:r>
        <w:t xml:space="preserve">les fonctionnalités livrées et leur rôle dans le parcours d’investissement. Les</w:t>
      </w:r>
      <w:r>
        <w:t xml:space="preserve"> </w:t>
      </w:r>
      <w:r>
        <w:t xml:space="preserve">résultats sont organisés autour de deux éléments : une consultation des</w:t>
      </w:r>
      <w:r>
        <w:t xml:space="preserve"> </w:t>
      </w:r>
      <w:r>
        <w:t xml:space="preserve">cotations et une analyse des palmarès de titres. Même si</w:t>
      </w:r>
      <w:r>
        <w:t xml:space="preserve"> </w:t>
      </w:r>
      <w:r>
        <w:t xml:space="preserve">l’analyse détaillée du chapitre précédent</w:t>
      </w:r>
      <w:r>
        <w:t xml:space="preserve"> </w:t>
      </w:r>
      <w:r>
        <w:t xml:space="preserve">s’est concentrée sur le passage d’ordres afin de limiter le périmètre de</w:t>
      </w:r>
      <w:r>
        <w:t xml:space="preserve"> </w:t>
      </w:r>
      <w:r>
        <w:t xml:space="preserve">conception, ces interfaces sont présentées ici comme des résultats</w:t>
      </w:r>
      <w:r>
        <w:t xml:space="preserve"> </w:t>
      </w:r>
      <w:r>
        <w:t xml:space="preserve">complémentaires du module SGI, car elles soutiennent la prise de décision avant</w:t>
      </w:r>
      <w:r>
        <w:t xml:space="preserve"> </w:t>
      </w:r>
      <w:r>
        <w:t xml:space="preserve">la soumission d’un ordre.</w:t>
      </w:r>
    </w:p>
    <w:p>
      <w:pPr>
        <w:pStyle w:val="BodyText"/>
      </w:pPr>
      <w:r>
        <w:t xml:space="preserve">Les interfaces de cotation et d’analyse sont fonctionnelles dans l’environnement</w:t>
      </w:r>
      <w:r>
        <w:t xml:space="preserve"> </w:t>
      </w:r>
      <w:r>
        <w:t xml:space="preserve">de validation. Toutefois, faute d’accès actuel à un flux officiel de la BRVM,</w:t>
      </w:r>
      <w:r>
        <w:t xml:space="preserve"> </w:t>
      </w:r>
      <w:r>
        <w:t xml:space="preserve">les valeurs de marché affichées sont des données fictives ou simulées destinées</w:t>
      </w:r>
      <w:r>
        <w:t xml:space="preserve"> </w:t>
      </w:r>
      <w:r>
        <w:t xml:space="preserve">à valider le parcours applicatif, et non des cotations en temps réel.</w:t>
      </w:r>
    </w:p>
    <w:bookmarkStart w:id="89" w:name="cotations-brvm"/>
    <w:p>
      <w:pPr>
        <w:pStyle w:val="Heading3"/>
      </w:pPr>
      <w:r>
        <w:t xml:space="preserve">Cotations BRVM</w:t>
      </w:r>
    </w:p>
    <w:p>
      <w:pPr>
        <w:pStyle w:val="FirstParagraph"/>
      </w:pPr>
      <w:r>
        <w:t xml:space="preserve">La fonctionnalité de cotations permet de consulter les instruments référencés</w:t>
      </w:r>
      <w:r>
        <w:t xml:space="preserve"> </w:t>
      </w:r>
      <w:r>
        <w:t xml:space="preserve">sur la BRVM, notamment les actions et les obligations</w:t>
      </w:r>
      <w:r>
        <w:t xml:space="preserve"> </w:t>
      </w:r>
      <w:r>
        <w:t xml:space="preserve">. Elle</w:t>
      </w:r>
      <w:r>
        <w:t xml:space="preserve"> </w:t>
      </w:r>
      <w:r>
        <w:t xml:space="preserve">fournit les informations nécessaires à la prise de décision : ticker,</w:t>
      </w:r>
      <w:r>
        <w:t xml:space="preserve"> </w:t>
      </w:r>
      <w:r>
        <w:t xml:space="preserve">dénomination, prix courant, variation et volume. Dans la réalisation présentée,</w:t>
      </w:r>
      <w:r>
        <w:t xml:space="preserve"> </w:t>
      </w:r>
      <w:r>
        <w:t xml:space="preserve">ces données sont simulées pour tester le parcours précédant le passage d’ordres.</w:t>
      </w:r>
      <w:r>
        <w:t xml:space="preserve"> </w:t>
      </w:r>
      <w:r>
        <w:t xml:space="preserve">La figure </w:t>
      </w:r>
      <w:hyperlink w:anchor="fig:cotations_brvm">
        <w:r>
          <w:rPr>
            <w:rStyle w:val="Hyperlink"/>
          </w:rPr>
          <w:t xml:space="preserve">4.2</w:t>
        </w:r>
      </w:hyperlink>
      <w:r>
        <w:t xml:space="preserve"> </w:t>
      </w:r>
      <w:r>
        <w:t xml:space="preserve">présente l’écran de suivi des instruments de</w:t>
      </w:r>
      <w:r>
        <w:t xml:space="preserve"> </w:t>
      </w:r>
      <w:r>
        <w:t xml:space="preserve">marché.</w:t>
      </w:r>
    </w:p>
    <w:bookmarkStart w:id="88" w:name="fig:cotations_brvm"/>
    <w:tbl>
      <w:tblPr>
        <w:tblStyle w:val="FigureTable"/>
        <w:tblW w:type="auto" w:w="0"/>
        <w:jc w:val="center"/>
        <w:tblLook w:firstRow="0" w:lastRow="0" w:firstColumn="0" w:lastColumn="0"/>
      </w:tblPr>
      <w:tblGrid/>
    </w:tbl>
    <w:p>
      <w:pPr>
        <w:pStyle w:val="ImageCaption"/>
      </w:pPr>
      <w:r>
        <w:t xml:space="preserve">Consultation d’instruments BRVM sur données simulées</w:t>
      </w:r>
    </w:p>
    <w:bookmarkEnd w:id="88"/>
    <w:bookmarkEnd w:id="89"/>
    <w:bookmarkStart w:id="90" w:name="analyse-et-palmarès-des-titres"/>
    <w:p>
      <w:pPr>
        <w:pStyle w:val="Heading3"/>
      </w:pPr>
      <w:r>
        <w:t xml:space="preserve">Analyse et palmarès des titres</w:t>
      </w:r>
    </w:p>
    <w:p>
      <w:pPr>
        <w:pStyle w:val="FirstParagraph"/>
      </w:pPr>
      <w:r>
        <w:t xml:space="preserve">En complément de la consultation des cotations, le module SGI propose une page</w:t>
      </w:r>
      <w:r>
        <w:t xml:space="preserve"> </w:t>
      </w:r>
      <w:r>
        <w:t xml:space="preserve">d’analyse permettant de comparer, sur le jeu de données de démonstration, les</w:t>
      </w:r>
      <w:r>
        <w:t xml:space="preserve"> </w:t>
      </w:r>
      <w:r>
        <w:t xml:space="preserve">performances des titres sur une période sélectionnée. L’utilisateur peut filtrer</w:t>
      </w:r>
      <w:r>
        <w:t xml:space="preserve"> </w:t>
      </w:r>
      <w:r>
        <w:t xml:space="preserve">les résultats par horizon temporel (jour, semaine, mois, trimestre, année) et</w:t>
      </w:r>
      <w:r>
        <w:t xml:space="preserve"> </w:t>
      </w:r>
      <w:r>
        <w:t xml:space="preserve">visualiser les meilleures et les plus faibles performances</w:t>
      </w:r>
      <w:r>
        <w:t xml:space="preserve"> </w:t>
      </w:r>
      <w:r>
        <w:t xml:space="preserve">. Cette vue d’analyse, qui soutient la lecture du marché</w:t>
      </w:r>
      <w:r>
        <w:t xml:space="preserve"> </w:t>
      </w:r>
      <w:r>
        <w:t xml:space="preserve">avant la prise de décision, est présentée en</w:t>
      </w:r>
      <w:r>
        <w:t xml:space="preserve"> </w:t>
      </w:r>
      <w:r>
        <w:t xml:space="preserve">annexe </w:t>
      </w:r>
      <w:hyperlink w:anchor="ann:interfaces-client-sgi">
        <w:r>
          <w:rPr>
            <w:rStyle w:val="Hyperlink"/>
          </w:rPr>
          <w:t xml:space="preserve">[ann:interfaces-client-sgi]</w:t>
        </w:r>
      </w:hyperlink>
      <w:r>
        <w:t xml:space="preserve"> </w:t>
      </w:r>
      <w:r>
        <w:t xml:space="preserve">(figure </w:t>
      </w:r>
      <w:hyperlink w:anchor="fig:palmares_titres">
        <w:r>
          <w:rPr>
            <w:rStyle w:val="Hyperlink"/>
          </w:rPr>
          <w:t xml:space="preserve">5.3</w:t>
        </w:r>
      </w:hyperlink>
      <w:r>
        <w:t xml:space="preserve">).</w:t>
      </w:r>
    </w:p>
    <w:p>
      <w:pPr>
        <w:pStyle w:val="BodyText"/>
      </w:pPr>
      <w:r>
        <w:t xml:space="preserve">La présence d’un volet de prédiction dans l’interface représente une extension</w:t>
      </w:r>
      <w:r>
        <w:t xml:space="preserve"> </w:t>
      </w:r>
      <w:r>
        <w:t xml:space="preserve">en cours d’évaluation. Elle n’est pas revendiquée ici comme un résultat validé,</w:t>
      </w:r>
      <w:r>
        <w:t xml:space="preserve"> </w:t>
      </w:r>
      <w:r>
        <w:t xml:space="preserve">en l’absence de données réelles permettant d’en mesurer la pertinence.</w:t>
      </w:r>
    </w:p>
    <w:p>
      <w:pPr>
        <w:pStyle w:val="BodyText"/>
      </w:pPr>
      <w:r>
        <w:t xml:space="preserve">Les interfaces complémentaires du parcours client SGI, notamment la</w:t>
      </w:r>
      <w:r>
        <w:t xml:space="preserve"> </w:t>
      </w:r>
      <w:r>
        <w:t xml:space="preserve">consultation d’un portefeuille et la saisie d’un ordre, sont présentées en</w:t>
      </w:r>
      <w:r>
        <w:t xml:space="preserve"> </w:t>
      </w:r>
      <w:r>
        <w:t xml:space="preserve">annexe </w:t>
      </w:r>
      <w:hyperlink w:anchor="ann:interfaces-client-sgi">
        <w:r>
          <w:rPr>
            <w:rStyle w:val="Hyperlink"/>
          </w:rPr>
          <w:t xml:space="preserve">[ann:interfaces-client-sgi]</w:t>
        </w:r>
      </w:hyperlink>
      <w:r>
        <w:t xml:space="preserve"> </w:t>
      </w:r>
      <w:r>
        <w:t xml:space="preserve">afin de compléter les résultats</w:t>
      </w:r>
      <w:r>
        <w:t xml:space="preserve"> </w:t>
      </w:r>
      <w:r>
        <w:t xml:space="preserve">présentés dans ce chapitre.</w:t>
      </w:r>
    </w:p>
    <w:bookmarkEnd w:id="90"/>
    <w:bookmarkEnd w:id="91"/>
    <w:bookmarkStart w:id="92" w:name="synthèse-de-la-couverture-des-objectifs"/>
    <w:p>
      <w:pPr>
        <w:pStyle w:val="Heading2"/>
      </w:pPr>
      <w:r>
        <w:t xml:space="preserve">Synthèse de la couverture des objectifs</w:t>
      </w:r>
    </w:p>
    <w:p>
      <w:pPr>
        <w:pStyle w:val="FirstParagraph"/>
      </w:pPr>
      <w:r>
        <w:t xml:space="preserve">Les sections précédentes ont présenté les fonctionnalités réalisées à travers</w:t>
      </w:r>
      <w:r>
        <w:t xml:space="preserve"> </w:t>
      </w:r>
      <w:r>
        <w:t xml:space="preserve">les interfaces des modules Relation Client et SGI. Il convient à présent de</w:t>
      </w:r>
      <w:r>
        <w:t xml:space="preserve"> </w:t>
      </w:r>
      <w:r>
        <w:t xml:space="preserve">rapprocher ces résultats des objectifs spécifiques définis au chapitre 1, afin</w:t>
      </w:r>
      <w:r>
        <w:t xml:space="preserve"> </w:t>
      </w:r>
      <w:r>
        <w:t xml:space="preserve">de distinguer les résultats effectivement démontrés des fonctions qui restent à</w:t>
      </w:r>
      <w:r>
        <w:t xml:space="preserve"> </w:t>
      </w:r>
      <w:r>
        <w:t xml:space="preserve">documenter ou à évaluer.</w:t>
      </w:r>
    </w:p>
    <w:p>
      <w:pPr>
        <w:pStyle w:val="BodyText"/>
      </w:pPr>
      <w:r>
        <w:rPr>
          <w:b/>
          <w:bCs/>
        </w:rPr>
        <w:t xml:space="preserve">Preuves du module Relation Client.</w:t>
      </w:r>
      <w:r>
        <w:t xml:space="preserve"> </w:t>
      </w:r>
      <w:r>
        <w:t xml:space="preserve">Le tableau de bord du chargé de</w:t>
      </w:r>
      <w:r>
        <w:t xml:space="preserve"> </w:t>
      </w:r>
      <w:r>
        <w:t xml:space="preserve">clientèle est présenté à la figure </w:t>
      </w:r>
      <w:hyperlink w:anchor="fig:portefeuille_clients">
        <w:r>
          <w:rPr>
            <w:rStyle w:val="Hyperlink"/>
          </w:rPr>
          <w:t xml:space="preserve">4.1</w:t>
        </w:r>
      </w:hyperlink>
      <w:r>
        <w:t xml:space="preserve">, tandis que</w:t>
      </w:r>
      <w:r>
        <w:t xml:space="preserve"> </w:t>
      </w:r>
      <w:r>
        <w:t xml:space="preserve">la gestion des prospects est illustrée en annexe par la</w:t>
      </w:r>
      <w:r>
        <w:t xml:space="preserve"> </w:t>
      </w:r>
      <w:r>
        <w:t xml:space="preserve">figure </w:t>
      </w:r>
      <w:hyperlink w:anchor="fig:gestion_prospects">
        <w:r>
          <w:rPr>
            <w:rStyle w:val="Hyperlink"/>
          </w:rPr>
          <w:t xml:space="preserve">6.1</w:t>
        </w:r>
      </w:hyperlink>
      <w:r>
        <w:t xml:space="preserve"> </w:t>
      </w:r>
      <w:r>
        <w:t xml:space="preserve">et vérifiée par la recette de création et de</w:t>
      </w:r>
      <w:r>
        <w:t xml:space="preserve"> </w:t>
      </w:r>
      <w:r>
        <w:t xml:space="preserve">conversion en annexe </w:t>
      </w:r>
      <w:hyperlink w:anchor="ann:recette-fonctionnelle">
        <w:r>
          <w:rPr>
            <w:rStyle w:val="Hyperlink"/>
          </w:rPr>
          <w:t xml:space="preserve">[ann:recette-fonctionnelle]</w:t>
        </w:r>
      </w:hyperlink>
      <w:r>
        <w:t xml:space="preserve">.</w:t>
      </w:r>
      <w:r>
        <w:t xml:space="preserve"> </w:t>
      </w:r>
      <w:r>
        <w:t xml:space="preserve">L’annexe </w:t>
      </w:r>
      <w:hyperlink w:anchor="ann:preuves-relation-client">
        <w:r>
          <w:rPr>
            <w:rStyle w:val="Hyperlink"/>
          </w:rPr>
          <w:t xml:space="preserve">[ann:preuves-relation-client]</w:t>
        </w:r>
      </w:hyperlink>
      <w:r>
        <w:t xml:space="preserve"> </w:t>
      </w:r>
      <w:r>
        <w:t xml:space="preserve">regroupe également les preuves complémentaires relatives aux autres profils du</w:t>
      </w:r>
      <w:r>
        <w:t xml:space="preserve"> </w:t>
      </w:r>
      <w:r>
        <w:t xml:space="preserve">tableau de bord, à la vue 360°, aux documents, au suivi KYC et à l’indicateur</w:t>
      </w:r>
      <w:r>
        <w:t xml:space="preserve"> </w:t>
      </w:r>
      <w:r>
        <w:t xml:space="preserve">de churn.</w:t>
      </w:r>
    </w:p>
    <w:p>
      <w:pPr>
        <w:pStyle w:val="BodyText"/>
      </w:pPr>
      <w:r>
        <w:rPr>
          <w:b/>
          <w:bCs/>
        </w:rPr>
        <w:t xml:space="preserve">Preuves du module SGI.</w:t>
      </w:r>
      <w:r>
        <w:t xml:space="preserve"> </w:t>
      </w:r>
      <w:r>
        <w:t xml:space="preserve">La consultation d’un portefeuille, la saisie</w:t>
      </w:r>
      <w:r>
        <w:t xml:space="preserve"> </w:t>
      </w:r>
      <w:r>
        <w:t xml:space="preserve">d’un ordre et le palmarès des titres sont documentés en</w:t>
      </w:r>
      <w:r>
        <w:t xml:space="preserve"> </w:t>
      </w:r>
      <w:r>
        <w:t xml:space="preserve">annexe </w:t>
      </w:r>
      <w:hyperlink w:anchor="ann:interfaces-client-sgi">
        <w:r>
          <w:rPr>
            <w:rStyle w:val="Hyperlink"/>
          </w:rPr>
          <w:t xml:space="preserve">[ann:interfaces-client-sgi]</w:t>
        </w:r>
      </w:hyperlink>
      <w:r>
        <w:t xml:space="preserve">. Les cotations sont illustrées par la</w:t>
      </w:r>
      <w:r>
        <w:t xml:space="preserve"> </w:t>
      </w:r>
      <w:r>
        <w:t xml:space="preserve">figure </w:t>
      </w:r>
      <w:hyperlink w:anchor="fig:cotations_brvm">
        <w:r>
          <w:rPr>
            <w:rStyle w:val="Hyperlink"/>
          </w:rPr>
          <w:t xml:space="preserve">4.2</w:t>
        </w:r>
      </w:hyperlink>
      <w:r>
        <w:t xml:space="preserve"> </w:t>
      </w:r>
      <w:r>
        <w:t xml:space="preserve">et le palmarès par la</w:t>
      </w:r>
      <w:r>
        <w:t xml:space="preserve"> </w:t>
      </w:r>
      <w:r>
        <w:t xml:space="preserve">figure </w:t>
      </w:r>
      <w:hyperlink w:anchor="fig:palmares_titres">
        <w:r>
          <w:rPr>
            <w:rStyle w:val="Hyperlink"/>
          </w:rPr>
          <w:t xml:space="preserve">5.3</w:t>
        </w:r>
      </w:hyperlink>
      <w:r>
        <w:t xml:space="preserve">, sur des données simulées en l’absence d’un</w:t>
      </w:r>
      <w:r>
        <w:t xml:space="preserve"> </w:t>
      </w:r>
      <w:r>
        <w:t xml:space="preserve">flux officiel BRVM.</w:t>
      </w:r>
    </w:p>
    <w:p>
      <w:pPr>
        <w:pStyle w:val="BodyText"/>
      </w:pPr>
      <w:r>
        <w:rPr>
          <w:b/>
          <w:bCs/>
        </w:rPr>
        <w:t xml:space="preserve">Portée des preuves.</w:t>
      </w:r>
      <w:r>
        <w:t xml:space="preserve"> </w:t>
      </w:r>
      <w:r>
        <w:t xml:space="preserve">Les captures démontrent la présence et le</w:t>
      </w:r>
      <w:r>
        <w:t xml:space="preserve"> </w:t>
      </w:r>
      <w:r>
        <w:t xml:space="preserve">fonctionnement observable des parcours réalisés dans l’environnement de</w:t>
      </w:r>
      <w:r>
        <w:t xml:space="preserve"> </w:t>
      </w:r>
      <w:r>
        <w:t xml:space="preserve">validation. Les fonctions d’intelligence artificielle demeurent à évaluer sur</w:t>
      </w:r>
      <w:r>
        <w:t xml:space="preserve"> </w:t>
      </w:r>
      <w:r>
        <w:t xml:space="preserve">des données réelles avant toute revendication de performance.</w:t>
      </w:r>
    </w:p>
    <w:bookmarkEnd w:id="92"/>
    <w:bookmarkStart w:id="96" w:name="analyse-critique-de-la-réalisation"/>
    <w:p>
      <w:pPr>
        <w:pStyle w:val="Heading2"/>
      </w:pPr>
      <w:r>
        <w:t xml:space="preserve">Analyse critique de la réalisation</w:t>
      </w:r>
    </w:p>
    <w:p>
      <w:pPr>
        <w:pStyle w:val="FirstParagraph"/>
      </w:pPr>
      <w:r>
        <w:t xml:space="preserve">Cette section résume les acquis, les limites et les évolutions prioritaires de</w:t>
      </w:r>
      <w:r>
        <w:t xml:space="preserve"> </w:t>
      </w:r>
      <w:r>
        <w:t xml:space="preserve">la réalisation, en lien avec la qualité logicielle</w:t>
      </w:r>
      <w:r>
        <w:t xml:space="preserve"> </w:t>
      </w:r>
      <w:r>
        <w:t xml:space="preserve"> </w:t>
      </w:r>
      <w:r>
        <w:t xml:space="preserve">et la</w:t>
      </w:r>
      <w:r>
        <w:t xml:space="preserve"> </w:t>
      </w:r>
      <w:r>
        <w:t xml:space="preserve">sécurité applicative</w:t>
      </w:r>
      <w:r>
        <w:t xml:space="preserve"> </w:t>
      </w:r>
      <w:r>
        <w:t xml:space="preserve">.</w:t>
      </w:r>
    </w:p>
    <w:bookmarkStart w:id="93" w:name="points-forts"/>
    <w:p>
      <w:pPr>
        <w:pStyle w:val="Heading3"/>
      </w:pPr>
      <w:r>
        <w:t xml:space="preserve">Points forts</w:t>
      </w:r>
    </w:p>
    <w:p>
      <w:pPr>
        <w:pStyle w:val="FirstParagraph"/>
      </w:pPr>
      <w:r>
        <w:t xml:space="preserve">I-SIB regroupe Relation Client et SGI dans une</w:t>
      </w:r>
      <w:r>
        <w:t xml:space="preserve"> </w:t>
      </w:r>
      <w:r>
        <w:t xml:space="preserve">même plateforme, ce qui améliore l’accès aux informations utiles et la</w:t>
      </w:r>
      <w:r>
        <w:t xml:space="preserve"> </w:t>
      </w:r>
      <w:r>
        <w:t xml:space="preserve">continuité des parcours.</w:t>
      </w:r>
    </w:p>
    <w:p>
      <w:pPr>
        <w:pStyle w:val="BodyText"/>
      </w:pPr>
      <w:r>
        <w:t xml:space="preserve">Le découpage en microservices</w:t>
      </w:r>
      <w:r>
        <w:t xml:space="preserve"> </w:t>
      </w:r>
      <w:r>
        <w:t xml:space="preserve"> </w:t>
      </w:r>
      <w:r>
        <w:t xml:space="preserve">facilite l’évolution progressive de la</w:t>
      </w:r>
      <w:r>
        <w:t xml:space="preserve"> </w:t>
      </w:r>
      <w:r>
        <w:t xml:space="preserve">solution et l’isolation des responsabilités.</w:t>
      </w:r>
    </w:p>
    <w:p>
      <w:pPr>
        <w:pStyle w:val="BodyText"/>
      </w:pPr>
      <w:r>
        <w:t xml:space="preserve">Keycloak</w:t>
      </w:r>
      <w:r>
        <w:t xml:space="preserve"> </w:t>
      </w:r>
      <w:r>
        <w:t xml:space="preserve"> </w:t>
      </w:r>
      <w:r>
        <w:t xml:space="preserve">centralise</w:t>
      </w:r>
      <w:r>
        <w:t xml:space="preserve"> </w:t>
      </w:r>
      <w:r>
        <w:t xml:space="preserve">l’authentification. Le module Manager présente le référentiel de</w:t>
      </w:r>
      <w:r>
        <w:t xml:space="preserve"> </w:t>
      </w:r>
      <w:r>
        <w:t xml:space="preserve">modules et de rôles associés à des actions autorisées, tandis que</w:t>
      </w:r>
      <w:r>
        <w:t xml:space="preserve"> </w:t>
      </w:r>
      <w:r>
        <w:t xml:space="preserve">la section Audit du back-office d’administration rend consultables</w:t>
      </w:r>
      <w:r>
        <w:t xml:space="preserve"> </w:t>
      </w:r>
      <w:r>
        <w:t xml:space="preserve">les opérations enregistrées.</w:t>
      </w:r>
      <w:r>
        <w:t xml:space="preserve"> </w:t>
      </w:r>
      <w:r>
        <w:t xml:space="preserve">Ces dispositifs sont illustrés en annexe </w:t>
      </w:r>
      <w:hyperlink w:anchor="ann:administration-acces">
        <w:r>
          <w:rPr>
            <w:rStyle w:val="Hyperlink"/>
          </w:rPr>
          <w:t xml:space="preserve">[ann:administration-acces]</w:t>
        </w:r>
      </w:hyperlink>
      <w:r>
        <w:t xml:space="preserve">.</w:t>
      </w:r>
    </w:p>
    <w:p>
      <w:pPr>
        <w:pStyle w:val="BodyText"/>
      </w:pPr>
      <w:r>
        <w:t xml:space="preserve">Le scoring visible dans le parcours prospect</w:t>
      </w:r>
      <w:r>
        <w:t xml:space="preserve"> </w:t>
      </w:r>
      <w:r>
        <w:t xml:space="preserve">constitue une aide au suivi commercial. La détection du churn et</w:t>
      </w:r>
      <w:r>
        <w:t xml:space="preserve"> </w:t>
      </w:r>
      <w:r>
        <w:t xml:space="preserve">l’évaluation des fonctions d’IA sur données réelles restent à</w:t>
      </w:r>
      <w:r>
        <w:t xml:space="preserve"> </w:t>
      </w:r>
      <w:r>
        <w:t xml:space="preserve">consolider.</w:t>
      </w:r>
    </w:p>
    <w:bookmarkEnd w:id="93"/>
    <w:bookmarkStart w:id="94" w:name="points-faibles-et-limites"/>
    <w:p>
      <w:pPr>
        <w:pStyle w:val="Heading3"/>
      </w:pPr>
      <w:r>
        <w:t xml:space="preserve">Points faibles et limites</w:t>
      </w:r>
    </w:p>
    <w:p>
      <w:pPr>
        <w:pStyle w:val="FirstParagraph"/>
      </w:pPr>
      <w:r>
        <w:t xml:space="preserve">La plateforme couvre un ensemble large de</w:t>
      </w:r>
      <w:r>
        <w:t xml:space="preserve"> </w:t>
      </w:r>
      <w:r>
        <w:t xml:space="preserve">besoins, mais toutes les fonctionnalités et toutes les connexions avec</w:t>
      </w:r>
      <w:r>
        <w:t xml:space="preserve"> </w:t>
      </w:r>
      <w:r>
        <w:t xml:space="preserve">les autres modules bancaires ne sont pas encore finalisées.</w:t>
      </w:r>
    </w:p>
    <w:p>
      <w:pPr>
        <w:pStyle w:val="BodyText"/>
      </w:pPr>
      <w:r>
        <w:t xml:space="preserve">Les cotations BRVM restent simulées et</w:t>
      </w:r>
      <w:r>
        <w:t xml:space="preserve"> </w:t>
      </w:r>
      <w:r>
        <w:t xml:space="preserve">doivent être remplacées par un flux officiel pour une exploitation</w:t>
      </w:r>
      <w:r>
        <w:t xml:space="preserve"> </w:t>
      </w:r>
      <w:r>
        <w:t xml:space="preserve">opérationnelle.</w:t>
      </w:r>
    </w:p>
    <w:p>
      <w:pPr>
        <w:pStyle w:val="BodyText"/>
      </w:pPr>
      <w:r>
        <w:t xml:space="preserve">Les modèles de scoring, de détection du churn et les</w:t>
      </w:r>
      <w:r>
        <w:t xml:space="preserve"> </w:t>
      </w:r>
      <w:r>
        <w:t xml:space="preserve">fonctions d’analyse prédictive visibles dans l’application devront</w:t>
      </w:r>
      <w:r>
        <w:t xml:space="preserve"> </w:t>
      </w:r>
      <w:r>
        <w:t xml:space="preserve">être évalués et améliorés avec des données réelles afin de confirmer</w:t>
      </w:r>
      <w:r>
        <w:t xml:space="preserve"> </w:t>
      </w:r>
      <w:r>
        <w:t xml:space="preserve">leur pertinence métier.</w:t>
      </w:r>
    </w:p>
    <w:p>
      <w:pPr>
        <w:pStyle w:val="BodyText"/>
      </w:pPr>
      <w:r>
        <w:t xml:space="preserve">L’environnement de validation</w:t>
      </w:r>
      <w:r>
        <w:t xml:space="preserve"> </w:t>
      </w:r>
      <w:r>
        <w:t xml:space="preserve">présenté au chapitre précédent permet les tests actuels. Bien que</w:t>
      </w:r>
      <w:r>
        <w:t xml:space="preserve"> </w:t>
      </w:r>
      <w:r>
        <w:t xml:space="preserve">l’administration des accès et la consultation des traces d’audit</w:t>
      </w:r>
      <w:r>
        <w:t xml:space="preserve"> </w:t>
      </w:r>
      <w:r>
        <w:t xml:space="preserve">soient intégrées, des tests systématiques de contrôle d’accès, un audit</w:t>
      </w:r>
      <w:r>
        <w:t xml:space="preserve"> </w:t>
      </w:r>
      <w:r>
        <w:t xml:space="preserve">de sécurité approfondi et une observabilité renforcée avec Zipkin</w:t>
      </w:r>
      <w:r>
        <w:t xml:space="preserve"> </w:t>
      </w:r>
      <w:r>
        <w:t xml:space="preserve"> </w:t>
      </w:r>
      <w:r>
        <w:t xml:space="preserve">restent nécessaires avant une mise en production.</w:t>
      </w:r>
    </w:p>
    <w:bookmarkEnd w:id="94"/>
    <w:bookmarkStart w:id="95" w:name="perspectives-damélioration"/>
    <w:p>
      <w:pPr>
        <w:pStyle w:val="Heading3"/>
      </w:pPr>
      <w:r>
        <w:t xml:space="preserve">Perspectives d’amélioration</w:t>
      </w:r>
    </w:p>
    <w:p>
      <w:pPr>
        <w:pStyle w:val="FirstParagraph"/>
      </w:pPr>
      <w:r>
        <w:t xml:space="preserve">Les perspectives prioritaires concernent l’achèvement des intégrations avec les</w:t>
      </w:r>
      <w:r>
        <w:t xml:space="preserve"> </w:t>
      </w:r>
      <w:r>
        <w:t xml:space="preserve">autres modules, le raccordement à un flux BRVM officiel, l’amélioration de l’IA,</w:t>
      </w:r>
      <w:r>
        <w:t xml:space="preserve"> </w:t>
      </w:r>
      <w:r>
        <w:t xml:space="preserve">l’industrialisation du passage en production et l’ouverture mobile.</w:t>
      </w:r>
    </w:p>
    <w:bookmarkEnd w:id="95"/>
    <w:bookmarkEnd w:id="96"/>
    <w:bookmarkStart w:id="97" w:name="conclusion-3"/>
    <w:p>
      <w:pPr>
        <w:pStyle w:val="Heading2"/>
      </w:pPr>
      <w:r>
        <w:t xml:space="preserve">Conclusion</w:t>
      </w:r>
    </w:p>
    <w:p>
      <w:pPr>
        <w:pStyle w:val="FirstParagraph"/>
      </w:pPr>
      <w:r>
        <w:t xml:space="preserve">Ce chapitre a présenté les principaux résultats de la réalisation à travers les</w:t>
      </w:r>
      <w:r>
        <w:t xml:space="preserve"> </w:t>
      </w:r>
      <w:r>
        <w:t xml:space="preserve">interfaces des modules Relation Client et SGI. Les écrans illustrés montrent la</w:t>
      </w:r>
      <w:r>
        <w:t xml:space="preserve"> </w:t>
      </w:r>
      <w:r>
        <w:t xml:space="preserve">prise en charge du suivi client, de la gestion des prospects, des cotations</w:t>
      </w:r>
      <w:r>
        <w:t xml:space="preserve"> </w:t>
      </w:r>
      <w:r>
        <w:t xml:space="preserve">simulées et de l’analyse descriptive des titres. Les figures du chapitre et les</w:t>
      </w:r>
      <w:r>
        <w:t xml:space="preserve"> </w:t>
      </w:r>
      <w:r>
        <w:t xml:space="preserve">annexes organisent les preuves associées aux objectifs retenus, tandis que les</w:t>
      </w:r>
      <w:r>
        <w:t xml:space="preserve"> </w:t>
      </w:r>
      <w:r>
        <w:t xml:space="preserve">fonctions d’intelligence artificielle restent à évaluer sur données réelles.</w:t>
      </w:r>
      <w:r>
        <w:t xml:space="preserve"> </w:t>
      </w:r>
      <w:r>
        <w:t xml:space="preserve">L’intégration complète avec les autres</w:t>
      </w:r>
      <w:r>
        <w:t xml:space="preserve"> </w:t>
      </w:r>
      <w:r>
        <w:t xml:space="preserve">modules, l’accès à des données réelles et la préparation de la production</w:t>
      </w:r>
      <w:r>
        <w:t xml:space="preserve"> </w:t>
      </w:r>
      <w:r>
        <w:t xml:space="preserve">constituent ainsi les prochaines étapes de consolidation d’I-SIB. Les</w:t>
      </w:r>
      <w:r>
        <w:t xml:space="preserve"> </w:t>
      </w:r>
      <w:r>
        <w:t xml:space="preserve">preuves complémentaires sont regroupées dans les</w:t>
      </w:r>
      <w:r>
        <w:t xml:space="preserve"> </w:t>
      </w:r>
      <w:r>
        <w:t xml:space="preserve">annexes </w:t>
      </w:r>
      <w:hyperlink w:anchor="ann:interfaces-client-sgi">
        <w:r>
          <w:rPr>
            <w:rStyle w:val="Hyperlink"/>
          </w:rPr>
          <w:t xml:space="preserve">[ann:interfaces-client-sgi]</w:t>
        </w:r>
      </w:hyperlink>
      <w:r>
        <w:t xml:space="preserve"> </w:t>
      </w:r>
      <w:r>
        <w:t xml:space="preserve">à </w:t>
      </w:r>
      <w:hyperlink w:anchor="ann:validation-deploiement">
        <w:r>
          <w:rPr>
            <w:rStyle w:val="Hyperlink"/>
          </w:rPr>
          <w:t xml:space="preserve">[ann:validation-deploiement]</w:t>
        </w:r>
      </w:hyperlink>
      <w:r>
        <w:t xml:space="preserve">.</w:t>
      </w:r>
    </w:p>
    <w:bookmarkEnd w:id="97"/>
    <w:bookmarkEnd w:id="98"/>
    <w:bookmarkStart w:id="124" w:name="conclusion-générale"/>
    <w:p>
      <w:pPr>
        <w:pStyle w:val="Heading1"/>
      </w:pPr>
      <w:r>
        <w:t xml:space="preserve">Conclusion générale</w:t>
      </w:r>
    </w:p>
    <w:p>
      <w:pPr>
        <w:pStyle w:val="FirstParagraph"/>
      </w:pPr>
      <w:r>
        <w:t xml:space="preserve">Ce mémoire avait pour objectif de concevoir et de réaliser une solution bancaire</w:t>
      </w:r>
      <w:r>
        <w:t xml:space="preserve"> </w:t>
      </w:r>
      <w:r>
        <w:t xml:space="preserve">intelligente capable de rapprocher la gestion de la relation client et les services</w:t>
      </w:r>
      <w:r>
        <w:t xml:space="preserve"> </w:t>
      </w:r>
      <w:r>
        <w:t xml:space="preserve">d’investissement. À travers la plateforme</w:t>
      </w:r>
      <w:r>
        <w:t xml:space="preserve"> </w:t>
      </w:r>
      <w:r>
        <w:rPr>
          <w:b/>
          <w:bCs/>
        </w:rPr>
        <w:t xml:space="preserve">I-SIB</w:t>
      </w:r>
      <w:r>
        <w:t xml:space="preserve">, le travail réalisé a</w:t>
      </w:r>
      <w:r>
        <w:t xml:space="preserve"> </w:t>
      </w:r>
      <w:r>
        <w:t xml:space="preserve">cherché à proposer une solution modulaire, sécurisée et évolutive, adaptée aux</w:t>
      </w:r>
      <w:r>
        <w:t xml:space="preserve"> </w:t>
      </w:r>
      <w:r>
        <w:t xml:space="preserve">besoins d’un environnement bancaire moderne.</w:t>
      </w:r>
    </w:p>
    <w:p>
      <w:pPr>
        <w:pStyle w:val="BodyText"/>
      </w:pPr>
      <w:r>
        <w:t xml:space="preserve">La démarche adoptée a permis d’analyser les besoins, de définir les exigences</w:t>
      </w:r>
      <w:r>
        <w:t xml:space="preserve"> </w:t>
      </w:r>
      <w:r>
        <w:t xml:space="preserve">fonctionnelles et non fonctionnelles, puis de concevoir une architecture fondée</w:t>
      </w:r>
      <w:r>
        <w:t xml:space="preserve"> </w:t>
      </w:r>
      <w:r>
        <w:t xml:space="preserve">sur des microservices, une passerelle API, des services métier spécialisés et des</w:t>
      </w:r>
      <w:r>
        <w:t xml:space="preserve"> </w:t>
      </w:r>
      <w:r>
        <w:t xml:space="preserve">mécanismes de sécurité et de traçabilité. Afin de garder une étude maîtrisée,</w:t>
      </w:r>
      <w:r>
        <w:t xml:space="preserve"> </w:t>
      </w:r>
      <w:r>
        <w:t xml:space="preserve">l’analyse détaillée s’est concentrée sur deux fonctionnalités représentatives :</w:t>
      </w:r>
      <w:r>
        <w:t xml:space="preserve"> </w:t>
      </w:r>
      <w:r>
        <w:t xml:space="preserve">la gestion des prospects et le passage d’ordres.</w:t>
      </w:r>
    </w:p>
    <w:p>
      <w:pPr>
        <w:pStyle w:val="BodyText"/>
      </w:pPr>
      <w:r>
        <w:t xml:space="preserve">Les résultats obtenus mettent en évidence une couverture fonctionnelle du</w:t>
      </w:r>
      <w:r>
        <w:t xml:space="preserve"> </w:t>
      </w:r>
      <w:r>
        <w:t xml:space="preserve">périmètre réalisé. Le module Relation Client centralise les informations client, facilite</w:t>
      </w:r>
      <w:r>
        <w:t xml:space="preserve"> </w:t>
      </w:r>
      <w:r>
        <w:t xml:space="preserve">le suivi des prospects, intègre le scoring et la détection du churn. Le module</w:t>
      </w:r>
      <w:r>
        <w:t xml:space="preserve"> </w:t>
      </w:r>
      <w:r>
        <w:t xml:space="preserve">SGI permet la consultation des portefeuilles, le suivi des cotations BRVM,</w:t>
      </w:r>
      <w:r>
        <w:t xml:space="preserve"> </w:t>
      </w:r>
      <w:r>
        <w:t xml:space="preserve">l’analyse des titres et le suivi des opérations d’investissement. Ces résultats</w:t>
      </w:r>
      <w:r>
        <w:t xml:space="preserve"> </w:t>
      </w:r>
      <w:r>
        <w:t xml:space="preserve">montrent l’intérêt d’une plateforme unifiée pour améliorer la continuité entre</w:t>
      </w:r>
      <w:r>
        <w:t xml:space="preserve"> </w:t>
      </w:r>
      <w:r>
        <w:t xml:space="preserve">les parcours commerciaux, bancaires et d’investissement. La plateforme réalisée</w:t>
      </w:r>
      <w:r>
        <w:t xml:space="preserve"> </w:t>
      </w:r>
      <w:r>
        <w:t xml:space="preserve">a également été déployée dans un environnement de validation sur un VPS</w:t>
      </w:r>
      <w:r>
        <w:t xml:space="preserve"> </w:t>
      </w:r>
      <w:r>
        <w:t xml:space="preserve">AlmaLinux, où les évolutions peuvent être testées progressivement après</w:t>
      </w:r>
      <w:r>
        <w:t xml:space="preserve"> </w:t>
      </w:r>
      <w:r>
        <w:t xml:space="preserve">redéploiement.</w:t>
      </w:r>
    </w:p>
    <w:p>
      <w:pPr>
        <w:pStyle w:val="BodyText"/>
      </w:pPr>
      <w:r>
        <w:t xml:space="preserve">Certaines limites demeurent cependant : les cotations BRVM restent simulées, les</w:t>
      </w:r>
      <w:r>
        <w:t xml:space="preserve"> </w:t>
      </w:r>
      <w:r>
        <w:t xml:space="preserve">modèles d’IA devront être améliorés avec des données réelles et les connexions</w:t>
      </w:r>
      <w:r>
        <w:t xml:space="preserve"> </w:t>
      </w:r>
      <w:r>
        <w:t xml:space="preserve">avec tous les modules bancaires ne sont pas finalisées. Le passage de</w:t>
      </w:r>
      <w:r>
        <w:t xml:space="preserve"> </w:t>
      </w:r>
      <w:r>
        <w:t xml:space="preserve">l’environnement de validation à la production nécessitera également davantage</w:t>
      </w:r>
      <w:r>
        <w:t xml:space="preserve"> </w:t>
      </w:r>
      <w:r>
        <w:t xml:space="preserve">de tests, un audit de sécurité approfondi et une observabilité plus complète.</w:t>
      </w:r>
      <w:r>
        <w:t xml:space="preserve"> </w:t>
      </w:r>
      <w:r>
        <w:t xml:space="preserve">Les perspectives portent donc sur l’intégration de flux de marché officiels,</w:t>
      </w:r>
      <w:r>
        <w:t xml:space="preserve"> </w:t>
      </w:r>
      <w:r>
        <w:t xml:space="preserve">l’industrialisation de la production, la haute disponibilité et l’ouverture</w:t>
      </w:r>
      <w:r>
        <w:t xml:space="preserve"> </w:t>
      </w:r>
      <w:r>
        <w:t xml:space="preserve">future vers le mobile ou le multilingue.</w:t>
      </w:r>
    </w:p>
    <w:p>
      <w:pPr>
        <w:pStyle w:val="BodyText"/>
      </w:pPr>
      <w:r>
        <w:t xml:space="preserve">En définitive, ce projet a permis de démontrer la faisabilité d’une plateforme</w:t>
      </w:r>
      <w:r>
        <w:t xml:space="preserve"> </w:t>
      </w:r>
      <w:r>
        <w:t xml:space="preserve">unifiée combinant relation client, services d’investissement, architecture</w:t>
      </w:r>
      <w:r>
        <w:t xml:space="preserve"> </w:t>
      </w:r>
      <w:r>
        <w:t xml:space="preserve">modulaire et intelligence artificielle. Il constitue une base solide pour la</w:t>
      </w:r>
      <w:r>
        <w:t xml:space="preserve"> </w:t>
      </w:r>
      <w:r>
        <w:t xml:space="preserve">poursuite du développement d’I-SIB et son adaptation progressive aux besoins</w:t>
      </w:r>
      <w:r>
        <w:t xml:space="preserve"> </w:t>
      </w:r>
      <w:r>
        <w:t xml:space="preserve">réels des institutions financières.</w:t>
      </w:r>
    </w:p>
    <w:p>
      <w:pPr>
        <w:pStyle w:val="BodyText"/>
      </w:pPr>
      <w:r>
        <w:t xml:space="preserve">99</w:t>
      </w:r>
    </w:p>
    <w:p>
      <w:pPr>
        <w:pStyle w:val="BodyText"/>
      </w:pPr>
      <w:r>
        <w:t xml:space="preserve">M. Fowler et J. Lewis,</w:t>
      </w:r>
      <w:r>
        <w:t xml:space="preserve"> </w:t>
      </w:r>
      <w:r>
        <w:rPr>
          <w:i/>
          <w:iCs/>
        </w:rPr>
        <w:t xml:space="preserve">Microservices</w:t>
      </w:r>
      <w:r>
        <w:t xml:space="preserve">, martinfowler.com, 2014.</w:t>
      </w:r>
      <w:r>
        <w:t xml:space="preserve"> </w:t>
      </w:r>
      <w:r>
        <w:t xml:space="preserve">Disponible sur :</w:t>
      </w:r>
      <w:r>
        <w:t xml:space="preserve"> </w:t>
      </w:r>
      <w:hyperlink r:id="rId99">
        <w:r>
          <w:rPr>
            <w:rStyle w:val="Hyperlink"/>
          </w:rPr>
          <w:t xml:space="preserve">https://martinfowler.com/articles/microservices.html</w:t>
        </w:r>
      </w:hyperlink>
    </w:p>
    <w:p>
      <w:pPr>
        <w:pStyle w:val="BodyText"/>
      </w:pPr>
      <w:r>
        <w:t xml:space="preserve">ISO/IEC,</w:t>
      </w:r>
      <w:r>
        <w:t xml:space="preserve"> </w:t>
      </w:r>
      <w:r>
        <w:rPr>
          <w:i/>
          <w:iCs/>
        </w:rPr>
        <w:t xml:space="preserve">ISO/IEC 25010: Systems and software Quality Requirements and Evaluation (SQuaRE) – Product quality model</w:t>
      </w:r>
      <w:r>
        <w:t xml:space="preserve">.</w:t>
      </w:r>
      <w:r>
        <w:t xml:space="preserve"> </w:t>
      </w:r>
      <w:r>
        <w:t xml:space="preserve">Disponible sur :</w:t>
      </w:r>
      <w:r>
        <w:t xml:space="preserve"> </w:t>
      </w:r>
      <w:hyperlink r:id="rId100">
        <w:r>
          <w:rPr>
            <w:rStyle w:val="Hyperlink"/>
          </w:rPr>
          <w:t xml:space="preserve">https://iso25000.com/index.php/en/iso-25000-standards/iso-25010</w:t>
        </w:r>
      </w:hyperlink>
    </w:p>
    <w:p>
      <w:pPr>
        <w:pStyle w:val="BodyText"/>
      </w:pPr>
      <w:r>
        <w:t xml:space="preserve">OWASP Foundation,</w:t>
      </w:r>
      <w:r>
        <w:t xml:space="preserve"> </w:t>
      </w:r>
      <w:r>
        <w:rPr>
          <w:i/>
          <w:iCs/>
        </w:rPr>
        <w:t xml:space="preserve">Application Security Verification Standard (ASVS)</w:t>
      </w:r>
      <w:r>
        <w:t xml:space="preserve">.</w:t>
      </w:r>
      <w:r>
        <w:t xml:space="preserve"> </w:t>
      </w:r>
      <w:r>
        <w:t xml:space="preserve">Disponible sur :</w:t>
      </w:r>
      <w:r>
        <w:t xml:space="preserve"> </w:t>
      </w:r>
      <w:hyperlink r:id="rId101">
        <w:r>
          <w:rPr>
            <w:rStyle w:val="Hyperlink"/>
          </w:rPr>
          <w:t xml:space="preserve">https://owasp.org/www-project-application-security-verification-standard/</w:t>
        </w:r>
      </w:hyperlink>
    </w:p>
    <w:p>
      <w:pPr>
        <w:pStyle w:val="BodyText"/>
      </w:pPr>
      <w:r>
        <w:t xml:space="preserve">FATF,</w:t>
      </w:r>
      <w:r>
        <w:t xml:space="preserve"> </w:t>
      </w:r>
      <w:r>
        <w:rPr>
          <w:i/>
          <w:iCs/>
        </w:rPr>
        <w:t xml:space="preserve">Guidance on Digital Identity</w:t>
      </w:r>
      <w:r>
        <w:t xml:space="preserve">, Financial Action Task Force, 2020.</w:t>
      </w:r>
      <w:r>
        <w:t xml:space="preserve"> </w:t>
      </w:r>
      <w:r>
        <w:t xml:space="preserve">Disponible sur :</w:t>
      </w:r>
      <w:r>
        <w:t xml:space="preserve"> </w:t>
      </w:r>
      <w:hyperlink r:id="rId102">
        <w:r>
          <w:rPr>
            <w:rStyle w:val="Hyperlink"/>
          </w:rPr>
          <w:t xml:space="preserve">https://www.fatf-gafi.org/en/publications/Financialinclusionandnpoissues/Digital-identity-guidance.html</w:t>
        </w:r>
      </w:hyperlink>
    </w:p>
    <w:p>
      <w:pPr>
        <w:pStyle w:val="BodyText"/>
      </w:pPr>
      <w:r>
        <w:t xml:space="preserve">BRVM,</w:t>
      </w:r>
      <w:r>
        <w:t xml:space="preserve"> </w:t>
      </w:r>
      <w:r>
        <w:rPr>
          <w:i/>
          <w:iCs/>
        </w:rPr>
        <w:t xml:space="preserve">Marché des actions</w:t>
      </w:r>
      <w:r>
        <w:t xml:space="preserve">, Bourse Régionale des Valeurs Mobilières.</w:t>
      </w:r>
      <w:r>
        <w:t xml:space="preserve"> </w:t>
      </w:r>
      <w:r>
        <w:t xml:space="preserve">Disponible sur :</w:t>
      </w:r>
      <w:r>
        <w:t xml:space="preserve"> </w:t>
      </w:r>
      <w:hyperlink r:id="rId103">
        <w:r>
          <w:rPr>
            <w:rStyle w:val="Hyperlink"/>
          </w:rPr>
          <w:t xml:space="preserve">https://www.brvm.org/fr/marche-des-actions</w:t>
        </w:r>
      </w:hyperlink>
    </w:p>
    <w:p>
      <w:pPr>
        <w:pStyle w:val="BodyText"/>
      </w:pPr>
      <w:r>
        <w:t xml:space="preserve">BCEAO,</w:t>
      </w:r>
      <w:r>
        <w:t xml:space="preserve"> </w:t>
      </w:r>
      <w:r>
        <w:rPr>
          <w:i/>
          <w:iCs/>
        </w:rPr>
        <w:t xml:space="preserve">FinTech et digitalisation des services financiers dans l’UEMOA</w:t>
      </w:r>
      <w:r>
        <w:t xml:space="preserve">.</w:t>
      </w:r>
      <w:r>
        <w:t xml:space="preserve"> </w:t>
      </w:r>
      <w:r>
        <w:t xml:space="preserve">Disponible sur :</w:t>
      </w:r>
      <w:r>
        <w:t xml:space="preserve"> </w:t>
      </w:r>
      <w:hyperlink r:id="rId104">
        <w:r>
          <w:rPr>
            <w:rStyle w:val="Hyperlink"/>
          </w:rPr>
          <w:t xml:space="preserve">https://www.bceao.int/fr/content/fintech-et-digitalisation-des-services-financiers-dans-luemoa</w:t>
        </w:r>
      </w:hyperlink>
    </w:p>
    <w:p>
      <w:pPr>
        <w:pStyle w:val="BodyText"/>
      </w:pPr>
      <w:r>
        <w:t xml:space="preserve">CREPMF,</w:t>
      </w:r>
      <w:r>
        <w:t xml:space="preserve"> </w:t>
      </w:r>
      <w:r>
        <w:rPr>
          <w:i/>
          <w:iCs/>
        </w:rPr>
        <w:t xml:space="preserve">Instruction n</w:t>
      </w:r>
      <w:r>
        <w:rPr>
          <w:i/>
          <w:iCs/>
          <w:vertAlign w:val="superscript"/>
        </w:rPr>
        <w:t xml:space="preserve">o</w:t>
      </w:r>
      <w:r>
        <w:rPr>
          <w:i/>
          <w:iCs/>
        </w:rPr>
        <w:t xml:space="preserve"> </w:t>
      </w:r>
      <w:r>
        <w:rPr>
          <w:i/>
          <w:iCs/>
        </w:rPr>
        <w:t xml:space="preserve">065/CREPMF/2021 relative au</w:t>
      </w:r>
      <w:r>
        <w:rPr>
          <w:i/>
          <w:iCs/>
        </w:rPr>
        <w:t xml:space="preserve"> </w:t>
      </w:r>
      <w:r>
        <w:rPr>
          <w:i/>
          <w:iCs/>
        </w:rPr>
        <w:t xml:space="preserve">capital social minimum requis et aux normes prudentielles des Sociétés de</w:t>
      </w:r>
      <w:r>
        <w:rPr>
          <w:i/>
          <w:iCs/>
        </w:rPr>
        <w:t xml:space="preserve"> </w:t>
      </w:r>
      <w:r>
        <w:rPr>
          <w:i/>
          <w:iCs/>
        </w:rPr>
        <w:t xml:space="preserve">Gestion et d’Intermédiation agréées sur le marché financier régional de</w:t>
      </w:r>
      <w:r>
        <w:rPr>
          <w:i/>
          <w:iCs/>
        </w:rPr>
        <w:t xml:space="preserve"> </w:t>
      </w:r>
      <w:r>
        <w:rPr>
          <w:i/>
          <w:iCs/>
        </w:rPr>
        <w:t xml:space="preserve">l’UMOA</w:t>
      </w:r>
      <w:r>
        <w:t xml:space="preserve">, 2021. Disponible sur :</w:t>
      </w:r>
      <w:r>
        <w:t xml:space="preserve"> </w:t>
      </w:r>
      <w:hyperlink r:id="rId105">
        <w:r>
          <w:rPr>
            <w:rStyle w:val="Hyperlink"/>
          </w:rPr>
          <w:t xml:space="preserve">https://www.brvm.org/sites/default/files/20230801_-_instruction_ndeg065-crepmf-2021_-_capital_social_minimum_requis_et_aux_normes_prudentielles_des_sgi_agreees_sur_le_mfr_de_lumoa_0.pdf</w:t>
        </w:r>
      </w:hyperlink>
    </w:p>
    <w:p>
      <w:pPr>
        <w:pStyle w:val="BodyText"/>
      </w:pPr>
      <w:r>
        <w:t xml:space="preserve">X. Vives,</w:t>
      </w:r>
      <w:r>
        <w:t xml:space="preserve"> </w:t>
      </w:r>
      <w:r>
        <w:rPr>
          <w:i/>
          <w:iCs/>
        </w:rPr>
        <w:t xml:space="preserve">Digital Disruption in Banking</w:t>
      </w:r>
      <w:r>
        <w:t xml:space="preserve">, Annual Review of Financial</w:t>
      </w:r>
      <w:r>
        <w:t xml:space="preserve"> </w:t>
      </w:r>
      <w:r>
        <w:t xml:space="preserve">Economics, vol. 11, pp. 243–272, 2019.</w:t>
      </w:r>
      <w:r>
        <w:t xml:space="preserve"> </w:t>
      </w:r>
      <w:r>
        <w:t xml:space="preserve">DOI :</w:t>
      </w:r>
      <w:r>
        <w:t xml:space="preserve"> </w:t>
      </w:r>
      <w:hyperlink r:id="rId106">
        <w:r>
          <w:rPr>
            <w:rStyle w:val="Hyperlink"/>
          </w:rPr>
          <w:t xml:space="preserve">https://doi.org/10.1146/annurev-financial-100719-120854</w:t>
        </w:r>
      </w:hyperlink>
    </w:p>
    <w:p>
      <w:pPr>
        <w:pStyle w:val="BodyText"/>
      </w:pPr>
      <w:r>
        <w:t xml:space="preserve">A. Payne et P. Frow,</w:t>
      </w:r>
      <w:r>
        <w:t xml:space="preserve"> </w:t>
      </w:r>
      <w:r>
        <w:rPr>
          <w:i/>
          <w:iCs/>
        </w:rPr>
        <w:t xml:space="preserve">A Strategic Framework for Customer Relationship</w:t>
      </w:r>
      <w:r>
        <w:rPr>
          <w:i/>
          <w:iCs/>
        </w:rPr>
        <w:t xml:space="preserve"> </w:t>
      </w:r>
      <w:r>
        <w:rPr>
          <w:i/>
          <w:iCs/>
        </w:rPr>
        <w:t xml:space="preserve">Management</w:t>
      </w:r>
      <w:r>
        <w:t xml:space="preserve">, Journal of Marketing, vol. 69, no. 4, pp. 167–176, 2005.</w:t>
      </w:r>
      <w:r>
        <w:t xml:space="preserve"> </w:t>
      </w:r>
      <w:r>
        <w:t xml:space="preserve">DOI :</w:t>
      </w:r>
      <w:r>
        <w:t xml:space="preserve"> </w:t>
      </w:r>
      <w:hyperlink r:id="rId107">
        <w:r>
          <w:rPr>
            <w:rStyle w:val="Hyperlink"/>
          </w:rPr>
          <w:t xml:space="preserve">https://doi.org/10.1509/jmkg.2005.69.4.167</w:t>
        </w:r>
      </w:hyperlink>
    </w:p>
    <w:p>
      <w:pPr>
        <w:pStyle w:val="BodyText"/>
      </w:pPr>
      <w:r>
        <w:t xml:space="preserve">École Supérieure Polytechnique de Dakar,</w:t>
      </w:r>
      <w:r>
        <w:t xml:space="preserve"> </w:t>
      </w:r>
      <w:r>
        <w:rPr>
          <w:i/>
          <w:iCs/>
        </w:rPr>
        <w:t xml:space="preserve">Site institutionnel de l’ESP</w:t>
      </w:r>
      <w:r>
        <w:t xml:space="preserve">.</w:t>
      </w:r>
      <w:r>
        <w:t xml:space="preserve"> </w:t>
      </w:r>
      <w:r>
        <w:t xml:space="preserve">Disponible sur :</w:t>
      </w:r>
      <w:r>
        <w:t xml:space="preserve"> </w:t>
      </w:r>
      <w:hyperlink r:id="rId108">
        <w:r>
          <w:rPr>
            <w:rStyle w:val="Hyperlink"/>
          </w:rPr>
          <w:t xml:space="preserve">https://esp.sn/</w:t>
        </w:r>
      </w:hyperlink>
    </w:p>
    <w:p>
      <w:pPr>
        <w:pStyle w:val="BodyText"/>
      </w:pPr>
      <w:r>
        <w:t xml:space="preserve">INNOV4AFRICA,</w:t>
      </w:r>
      <w:r>
        <w:t xml:space="preserve"> </w:t>
      </w:r>
      <w:r>
        <w:rPr>
          <w:i/>
          <w:iCs/>
        </w:rPr>
        <w:t xml:space="preserve">Site institutionnel de l’entreprise</w:t>
      </w:r>
      <w:r>
        <w:t xml:space="preserve">.</w:t>
      </w:r>
      <w:r>
        <w:t xml:space="preserve"> </w:t>
      </w:r>
      <w:r>
        <w:t xml:space="preserve">Disponible sur :</w:t>
      </w:r>
      <w:r>
        <w:t xml:space="preserve"> </w:t>
      </w:r>
      <w:hyperlink r:id="rId109">
        <w:r>
          <w:rPr>
            <w:rStyle w:val="Hyperlink"/>
          </w:rPr>
          <w:t xml:space="preserve">https://innov4africa.com/</w:t>
        </w:r>
      </w:hyperlink>
    </w:p>
    <w:p>
      <w:pPr>
        <w:pStyle w:val="BodyText"/>
      </w:pPr>
      <w:r>
        <w:t xml:space="preserve">Vercel,</w:t>
      </w:r>
      <w:r>
        <w:t xml:space="preserve"> </w:t>
      </w:r>
      <w:r>
        <w:rPr>
          <w:i/>
          <w:iCs/>
        </w:rPr>
        <w:t xml:space="preserve">Next.js Documentation</w:t>
      </w:r>
      <w:r>
        <w:t xml:space="preserve">.</w:t>
      </w:r>
      <w:r>
        <w:t xml:space="preserve"> </w:t>
      </w:r>
      <w:r>
        <w:t xml:space="preserve">Disponible sur :</w:t>
      </w:r>
      <w:r>
        <w:t xml:space="preserve"> </w:t>
      </w:r>
      <w:hyperlink r:id="rId110">
        <w:r>
          <w:rPr>
            <w:rStyle w:val="Hyperlink"/>
          </w:rPr>
          <w:t xml:space="preserve">https://nextjs.org/docs</w:t>
        </w:r>
      </w:hyperlink>
    </w:p>
    <w:p>
      <w:pPr>
        <w:pStyle w:val="BodyText"/>
      </w:pPr>
      <w:r>
        <w:t xml:space="preserve">Microsoft,</w:t>
      </w:r>
      <w:r>
        <w:t xml:space="preserve"> </w:t>
      </w:r>
      <w:r>
        <w:rPr>
          <w:i/>
          <w:iCs/>
        </w:rPr>
        <w:t xml:space="preserve">TypeScript Handbook</w:t>
      </w:r>
      <w:r>
        <w:t xml:space="preserve">.</w:t>
      </w:r>
      <w:r>
        <w:t xml:space="preserve"> </w:t>
      </w:r>
      <w:r>
        <w:t xml:space="preserve">Disponible sur :</w:t>
      </w:r>
      <w:r>
        <w:t xml:space="preserve"> </w:t>
      </w:r>
      <w:hyperlink r:id="rId111">
        <w:r>
          <w:rPr>
            <w:rStyle w:val="Hyperlink"/>
          </w:rPr>
          <w:t xml:space="preserve">https://www.typescriptlang.org/docs/handbook/</w:t>
        </w:r>
      </w:hyperlink>
    </w:p>
    <w:p>
      <w:pPr>
        <w:pStyle w:val="BodyText"/>
      </w:pPr>
      <w:r>
        <w:t xml:space="preserve">VMware Tanzu,</w:t>
      </w:r>
      <w:r>
        <w:t xml:space="preserve"> </w:t>
      </w:r>
      <w:r>
        <w:rPr>
          <w:i/>
          <w:iCs/>
        </w:rPr>
        <w:t xml:space="preserve">Spring Boot Reference Documentation</w:t>
      </w:r>
      <w:r>
        <w:t xml:space="preserve">.</w:t>
      </w:r>
      <w:r>
        <w:t xml:space="preserve"> </w:t>
      </w:r>
      <w:r>
        <w:t xml:space="preserve">Disponible sur :</w:t>
      </w:r>
      <w:r>
        <w:t xml:space="preserve"> </w:t>
      </w:r>
      <w:hyperlink r:id="rId112">
        <w:r>
          <w:rPr>
            <w:rStyle w:val="Hyperlink"/>
          </w:rPr>
          <w:t xml:space="preserve">https://docs.spring.io/spring-boot/</w:t>
        </w:r>
      </w:hyperlink>
    </w:p>
    <w:p>
      <w:pPr>
        <w:pStyle w:val="BodyText"/>
      </w:pPr>
      <w:r>
        <w:t xml:space="preserve">VMware Tanzu,</w:t>
      </w:r>
      <w:r>
        <w:t xml:space="preserve"> </w:t>
      </w:r>
      <w:r>
        <w:rPr>
          <w:i/>
          <w:iCs/>
        </w:rPr>
        <w:t xml:space="preserve">Spring Cloud Gateway Reference Documentation</w:t>
      </w:r>
      <w:r>
        <w:t xml:space="preserve">.</w:t>
      </w:r>
      <w:r>
        <w:t xml:space="preserve"> </w:t>
      </w:r>
      <w:r>
        <w:t xml:space="preserve">Disponible sur :</w:t>
      </w:r>
      <w:r>
        <w:t xml:space="preserve"> </w:t>
      </w:r>
      <w:hyperlink r:id="rId113">
        <w:r>
          <w:rPr>
            <w:rStyle w:val="Hyperlink"/>
          </w:rPr>
          <w:t xml:space="preserve">https://docs.spring.io/spring-cloud-gateway/reference/</w:t>
        </w:r>
      </w:hyperlink>
    </w:p>
    <w:p>
      <w:pPr>
        <w:pStyle w:val="BodyText"/>
      </w:pPr>
      <w:r>
        <w:t xml:space="preserve">VMware Tanzu,</w:t>
      </w:r>
      <w:r>
        <w:t xml:space="preserve"> </w:t>
      </w:r>
      <w:r>
        <w:rPr>
          <w:i/>
          <w:iCs/>
        </w:rPr>
        <w:t xml:space="preserve">Spring Cloud Netflix Eureka Documentation</w:t>
      </w:r>
      <w:r>
        <w:t xml:space="preserve">.</w:t>
      </w:r>
      <w:r>
        <w:t xml:space="preserve"> </w:t>
      </w:r>
      <w:r>
        <w:t xml:space="preserve">Disponible sur :</w:t>
      </w:r>
      <w:r>
        <w:t xml:space="preserve"> </w:t>
      </w:r>
      <w:hyperlink r:id="rId114">
        <w:r>
          <w:rPr>
            <w:rStyle w:val="Hyperlink"/>
          </w:rPr>
          <w:t xml:space="preserve">https://docs.spring.io/spring-cloud-netflix/reference/</w:t>
        </w:r>
      </w:hyperlink>
    </w:p>
    <w:p>
      <w:pPr>
        <w:pStyle w:val="BodyText"/>
      </w:pPr>
      <w:r>
        <w:t xml:space="preserve">Keycloak,</w:t>
      </w:r>
      <w:r>
        <w:t xml:space="preserve"> </w:t>
      </w:r>
      <w:r>
        <w:rPr>
          <w:i/>
          <w:iCs/>
        </w:rPr>
        <w:t xml:space="preserve">Keycloak Documentation</w:t>
      </w:r>
      <w:r>
        <w:t xml:space="preserve">.</w:t>
      </w:r>
      <w:r>
        <w:t xml:space="preserve"> </w:t>
      </w:r>
      <w:r>
        <w:t xml:space="preserve">Disponible sur :</w:t>
      </w:r>
      <w:r>
        <w:t xml:space="preserve"> </w:t>
      </w:r>
      <w:hyperlink r:id="rId115">
        <w:r>
          <w:rPr>
            <w:rStyle w:val="Hyperlink"/>
          </w:rPr>
          <w:t xml:space="preserve">https://www.keycloak.org/documentation</w:t>
        </w:r>
      </w:hyperlink>
    </w:p>
    <w:p>
      <w:pPr>
        <w:pStyle w:val="BodyText"/>
      </w:pPr>
      <w:r>
        <w:t xml:space="preserve">PostgreSQL Global Development Group,</w:t>
      </w:r>
      <w:r>
        <w:t xml:space="preserve"> </w:t>
      </w:r>
      <w:r>
        <w:rPr>
          <w:i/>
          <w:iCs/>
        </w:rPr>
        <w:t xml:space="preserve">PostgreSQL Documentation</w:t>
      </w:r>
      <w:r>
        <w:t xml:space="preserve">.</w:t>
      </w:r>
      <w:r>
        <w:t xml:space="preserve"> </w:t>
      </w:r>
      <w:r>
        <w:t xml:space="preserve">Disponible sur :</w:t>
      </w:r>
      <w:r>
        <w:t xml:space="preserve"> </w:t>
      </w:r>
      <w:hyperlink r:id="rId116">
        <w:r>
          <w:rPr>
            <w:rStyle w:val="Hyperlink"/>
          </w:rPr>
          <w:t xml:space="preserve">https://www.postgresql.org/docs/</w:t>
        </w:r>
      </w:hyperlink>
    </w:p>
    <w:p>
      <w:pPr>
        <w:pStyle w:val="BodyText"/>
      </w:pPr>
      <w:r>
        <w:t xml:space="preserve">Redis,</w:t>
      </w:r>
      <w:r>
        <w:t xml:space="preserve"> </w:t>
      </w:r>
      <w:r>
        <w:rPr>
          <w:i/>
          <w:iCs/>
        </w:rPr>
        <w:t xml:space="preserve">Redis Documentation</w:t>
      </w:r>
      <w:r>
        <w:t xml:space="preserve">.</w:t>
      </w:r>
      <w:r>
        <w:t xml:space="preserve"> </w:t>
      </w:r>
      <w:r>
        <w:t xml:space="preserve">Disponible sur :</w:t>
      </w:r>
      <w:r>
        <w:t xml:space="preserve"> </w:t>
      </w:r>
      <w:hyperlink r:id="rId117">
        <w:r>
          <w:rPr>
            <w:rStyle w:val="Hyperlink"/>
          </w:rPr>
          <w:t xml:space="preserve">https://redis.io/docs/</w:t>
        </w:r>
      </w:hyperlink>
    </w:p>
    <w:p>
      <w:pPr>
        <w:pStyle w:val="BodyText"/>
      </w:pPr>
      <w:r>
        <w:t xml:space="preserve">Broadcom,</w:t>
      </w:r>
      <w:r>
        <w:t xml:space="preserve"> </w:t>
      </w:r>
      <w:r>
        <w:rPr>
          <w:i/>
          <w:iCs/>
        </w:rPr>
        <w:t xml:space="preserve">RabbitMQ Documentation</w:t>
      </w:r>
      <w:r>
        <w:t xml:space="preserve">.</w:t>
      </w:r>
      <w:r>
        <w:t xml:space="preserve"> </w:t>
      </w:r>
      <w:r>
        <w:t xml:space="preserve">Disponible sur :</w:t>
      </w:r>
      <w:r>
        <w:t xml:space="preserve"> </w:t>
      </w:r>
      <w:hyperlink r:id="rId118">
        <w:r>
          <w:rPr>
            <w:rStyle w:val="Hyperlink"/>
          </w:rPr>
          <w:t xml:space="preserve">https://www.rabbitmq.com/docs</w:t>
        </w:r>
      </w:hyperlink>
    </w:p>
    <w:p>
      <w:pPr>
        <w:pStyle w:val="BodyText"/>
      </w:pPr>
      <w:r>
        <w:t xml:space="preserve">MinIO,</w:t>
      </w:r>
      <w:r>
        <w:t xml:space="preserve"> </w:t>
      </w:r>
      <w:r>
        <w:rPr>
          <w:i/>
          <w:iCs/>
        </w:rPr>
        <w:t xml:space="preserve">MinIO Object Store Documentation</w:t>
      </w:r>
      <w:r>
        <w:t xml:space="preserve">.</w:t>
      </w:r>
      <w:r>
        <w:t xml:space="preserve"> </w:t>
      </w:r>
      <w:r>
        <w:t xml:space="preserve">Disponible sur :</w:t>
      </w:r>
      <w:r>
        <w:t xml:space="preserve"> </w:t>
      </w:r>
      <w:hyperlink r:id="rId119">
        <w:r>
          <w:rPr>
            <w:rStyle w:val="Hyperlink"/>
          </w:rPr>
          <w:t xml:space="preserve">https://min.io/docs/minio/linux/index.html</w:t>
        </w:r>
      </w:hyperlink>
    </w:p>
    <w:p>
      <w:pPr>
        <w:pStyle w:val="BodyText"/>
      </w:pPr>
      <w:r>
        <w:t xml:space="preserve">Rasa,</w:t>
      </w:r>
      <w:r>
        <w:t xml:space="preserve"> </w:t>
      </w:r>
      <w:r>
        <w:rPr>
          <w:i/>
          <w:iCs/>
        </w:rPr>
        <w:t xml:space="preserve">Rasa Documentation</w:t>
      </w:r>
      <w:r>
        <w:t xml:space="preserve">.</w:t>
      </w:r>
      <w:r>
        <w:t xml:space="preserve"> </w:t>
      </w:r>
      <w:r>
        <w:t xml:space="preserve">Disponible sur :</w:t>
      </w:r>
      <w:r>
        <w:t xml:space="preserve"> </w:t>
      </w:r>
      <w:hyperlink r:id="rId120">
        <w:r>
          <w:rPr>
            <w:rStyle w:val="Hyperlink"/>
          </w:rPr>
          <w:t xml:space="preserve">https://rasa.com/docs/</w:t>
        </w:r>
      </w:hyperlink>
    </w:p>
    <w:p>
      <w:pPr>
        <w:pStyle w:val="BodyText"/>
      </w:pPr>
      <w:r>
        <w:t xml:space="preserve">OpenZipkin,</w:t>
      </w:r>
      <w:r>
        <w:t xml:space="preserve"> </w:t>
      </w:r>
      <w:r>
        <w:rPr>
          <w:i/>
          <w:iCs/>
        </w:rPr>
        <w:t xml:space="preserve">Zipkin Documentation</w:t>
      </w:r>
      <w:r>
        <w:t xml:space="preserve">.</w:t>
      </w:r>
      <w:r>
        <w:t xml:space="preserve"> </w:t>
      </w:r>
      <w:r>
        <w:t xml:space="preserve">Disponible sur :</w:t>
      </w:r>
      <w:r>
        <w:t xml:space="preserve"> </w:t>
      </w:r>
      <w:hyperlink r:id="rId121">
        <w:r>
          <w:rPr>
            <w:rStyle w:val="Hyperlink"/>
          </w:rPr>
          <w:t xml:space="preserve">https://zipkin.io/pages/documentation.html</w:t>
        </w:r>
      </w:hyperlink>
    </w:p>
    <w:p>
      <w:pPr>
        <w:pStyle w:val="BodyText"/>
      </w:pPr>
      <w:r>
        <w:t xml:space="preserve">Docker Inc.,</w:t>
      </w:r>
      <w:r>
        <w:t xml:space="preserve"> </w:t>
      </w:r>
      <w:r>
        <w:rPr>
          <w:i/>
          <w:iCs/>
        </w:rPr>
        <w:t xml:space="preserve">Docker Documentation</w:t>
      </w:r>
      <w:r>
        <w:t xml:space="preserve">.</w:t>
      </w:r>
      <w:r>
        <w:t xml:space="preserve"> </w:t>
      </w:r>
      <w:r>
        <w:t xml:space="preserve">Disponible sur :</w:t>
      </w:r>
      <w:r>
        <w:t xml:space="preserve"> </w:t>
      </w:r>
      <w:hyperlink r:id="rId122">
        <w:r>
          <w:rPr>
            <w:rStyle w:val="Hyperlink"/>
          </w:rPr>
          <w:t xml:space="preserve">https://docs.docker.com/</w:t>
        </w:r>
      </w:hyperlink>
    </w:p>
    <w:p>
      <w:pPr>
        <w:pStyle w:val="BodyText"/>
      </w:pPr>
      <w:r>
        <w:t xml:space="preserve">Docker Inc.,</w:t>
      </w:r>
      <w:r>
        <w:t xml:space="preserve"> </w:t>
      </w:r>
      <w:r>
        <w:rPr>
          <w:i/>
          <w:iCs/>
        </w:rPr>
        <w:t xml:space="preserve">Docker Compose Documentation</w:t>
      </w:r>
      <w:r>
        <w:t xml:space="preserve">.</w:t>
      </w:r>
      <w:r>
        <w:t xml:space="preserve"> </w:t>
      </w:r>
      <w:r>
        <w:t xml:space="preserve">Disponible sur :</w:t>
      </w:r>
      <w:r>
        <w:t xml:space="preserve"> </w:t>
      </w:r>
      <w:hyperlink r:id="rId123">
        <w:r>
          <w:rPr>
            <w:rStyle w:val="Hyperlink"/>
          </w:rPr>
          <w:t xml:space="preserve">https://docs.docker.com/compose/</w:t>
        </w:r>
      </w:hyperlink>
    </w:p>
    <w:p>
      <w:pPr>
        <w:pStyle w:val="BodyText"/>
      </w:pPr>
      <w:r>
        <w:t xml:space="preserve">I. Jacobson, M. Christerson, P. Jonsson et G. Övergaard,</w:t>
      </w:r>
      <w:r>
        <w:t xml:space="preserve"> </w:t>
      </w:r>
      <w:r>
        <w:rPr>
          <w:i/>
          <w:iCs/>
        </w:rPr>
        <w:t xml:space="preserve">Object-Oriented Software Engineering: A Use Case Driven Approach</w:t>
      </w:r>
      <w:r>
        <w:t xml:space="preserve">, Addison-Wesley, 1992.</w:t>
      </w:r>
    </w:p>
    <w:bookmarkEnd w:id="124"/>
    <w:bookmarkStart w:id="138" w:name="X3f02df12725241c5949e846970e020a6ff2453a"/>
    <w:p>
      <w:pPr>
        <w:pStyle w:val="Heading1"/>
      </w:pPr>
      <w:r>
        <w:t xml:space="preserve">Interfaces complémentaires du parcours client SGI</w:t>
      </w:r>
    </w:p>
    <w:p>
      <w:pPr>
        <w:pStyle w:val="FirstParagraph"/>
      </w:pPr>
      <w:bookmarkStart w:id="125" w:name="ann:interfaces-client-sgi"/>
      <w:bookmarkEnd w:id="125"/>
    </w:p>
    <w:p>
      <w:pPr>
        <w:pStyle w:val="BodyText"/>
      </w:pPr>
      <w:r>
        <w:t xml:space="preserve">Le chapitre 4 a présenté les résultats du module SGI du point de vue du</w:t>
      </w:r>
      <w:r>
        <w:t xml:space="preserve"> </w:t>
      </w:r>
      <w:r>
        <w:t xml:space="preserve">gestionnaire (tableau de bord, cotations, portefeuilles). La présente annexe</w:t>
      </w:r>
      <w:r>
        <w:t xml:space="preserve"> </w:t>
      </w:r>
      <w:r>
        <w:t xml:space="preserve">complète cette vue en illustrant le parcours tel qu’il est vécu par le</w:t>
      </w:r>
      <w:r>
        <w:t xml:space="preserve"> </w:t>
      </w:r>
      <w:r>
        <w:rPr>
          <w:b/>
          <w:bCs/>
        </w:rPr>
        <w:t xml:space="preserve">client</w:t>
      </w:r>
      <w:r>
        <w:t xml:space="preserve"> </w:t>
      </w:r>
      <w:r>
        <w:t xml:space="preserve">: depuis la consultation de son portefeuille jusqu’à la</w:t>
      </w:r>
      <w:r>
        <w:t xml:space="preserve"> </w:t>
      </w:r>
      <w:r>
        <w:t xml:space="preserve">soumission d’un ordre d’investissement.</w:t>
      </w:r>
    </w:p>
    <w:p>
      <w:pPr>
        <w:pStyle w:val="BodyText"/>
      </w:pPr>
      <w:r>
        <w:t xml:space="preserve">Les comptes, identités et montants affichés dans les interfaces de cette</w:t>
      </w:r>
      <w:r>
        <w:t xml:space="preserve"> </w:t>
      </w:r>
      <w:r>
        <w:t xml:space="preserve">annexe ont été créés uniquement pour les tests et ne correspondent pas à des</w:t>
      </w:r>
      <w:r>
        <w:t xml:space="preserve"> </w:t>
      </w:r>
      <w:r>
        <w:t xml:space="preserve">clients réels. De même, les données de marché utilisées dans les vues SGI</w:t>
      </w:r>
      <w:r>
        <w:t xml:space="preserve"> </w:t>
      </w:r>
      <w:r>
        <w:t xml:space="preserve">sont simulées, l’accès à un flux officiel BRVM n’étant pas encore disponible</w:t>
      </w:r>
      <w:r>
        <w:t xml:space="preserve"> </w:t>
      </w:r>
      <w:r>
        <w:t xml:space="preserve">dans l’environnement de validation.</w:t>
      </w:r>
    </w:p>
    <w:p>
      <w:pPr>
        <w:pStyle w:val="BodyText"/>
      </w:pPr>
      <w:r>
        <w:t xml:space="preserve">Quatre interfaces sont présentées :</w:t>
      </w:r>
    </w:p>
    <w:p>
      <w:pPr>
        <w:numPr>
          <w:ilvl w:val="0"/>
          <w:numId w:val="1011"/>
        </w:numPr>
      </w:pPr>
      <w:r>
        <w:t xml:space="preserve">la consultation du portefeuille client</w:t>
      </w:r>
      <w:r>
        <w:t xml:space="preserve"> </w:t>
      </w:r>
      <w:r>
        <w:t xml:space="preserve">(figure </w:t>
      </w:r>
      <w:hyperlink w:anchor="fig:ann_portefeuille_client">
        <w:r>
          <w:rPr>
            <w:rStyle w:val="Hyperlink"/>
          </w:rPr>
          <w:t xml:space="preserve">5.1</w:t>
        </w:r>
      </w:hyperlink>
      <w:r>
        <w:t xml:space="preserve">) ;</w:t>
      </w:r>
    </w:p>
    <w:p>
      <w:pPr>
        <w:numPr>
          <w:ilvl w:val="0"/>
          <w:numId w:val="1011"/>
        </w:numPr>
      </w:pPr>
      <w:r>
        <w:t xml:space="preserve">la fiche détaillée d’un titre coté sur la BRVM</w:t>
      </w:r>
      <w:r>
        <w:t xml:space="preserve"> </w:t>
      </w:r>
      <w:r>
        <w:t xml:space="preserve">(figure </w:t>
      </w:r>
      <w:hyperlink w:anchor="fig:ann_detail_titre">
        <w:r>
          <w:rPr>
            <w:rStyle w:val="Hyperlink"/>
          </w:rPr>
          <w:t xml:space="preserve">5.2</w:t>
        </w:r>
      </w:hyperlink>
      <w:r>
        <w:t xml:space="preserve">) ;</w:t>
      </w:r>
    </w:p>
    <w:p>
      <w:pPr>
        <w:numPr>
          <w:ilvl w:val="0"/>
          <w:numId w:val="1011"/>
        </w:numPr>
      </w:pPr>
      <w:r>
        <w:t xml:space="preserve">l’analyse et le palmarès des titres</w:t>
      </w:r>
      <w:r>
        <w:t xml:space="preserve"> </w:t>
      </w:r>
      <w:r>
        <w:t xml:space="preserve">(figure </w:t>
      </w:r>
      <w:hyperlink w:anchor="fig:palmares_titres">
        <w:r>
          <w:rPr>
            <w:rStyle w:val="Hyperlink"/>
          </w:rPr>
          <w:t xml:space="preserve">5.3</w:t>
        </w:r>
      </w:hyperlink>
      <w:r>
        <w:t xml:space="preserve">) ;</w:t>
      </w:r>
    </w:p>
    <w:p>
      <w:pPr>
        <w:numPr>
          <w:ilvl w:val="0"/>
          <w:numId w:val="1011"/>
        </w:numPr>
      </w:pPr>
      <w:r>
        <w:t xml:space="preserve">le formulaire de saisie d’un ordre d’achat ou de vente</w:t>
      </w:r>
      <w:r>
        <w:t xml:space="preserve"> </w:t>
      </w:r>
      <w:r>
        <w:t xml:space="preserve">(figure </w:t>
      </w:r>
      <w:hyperlink w:anchor="fig:ann_passage_ordre">
        <w:r>
          <w:rPr>
            <w:rStyle w:val="Hyperlink"/>
          </w:rPr>
          <w:t xml:space="preserve">5.4</w:t>
        </w:r>
      </w:hyperlink>
      <w:r>
        <w:t xml:space="preserve">).</w:t>
      </w:r>
    </w:p>
    <w:bookmarkStart w:id="128" w:name="consultation-du-portefeuille"/>
    <w:p>
      <w:pPr>
        <w:pStyle w:val="Heading2"/>
      </w:pPr>
      <w:r>
        <w:t xml:space="preserve">Consultation du portefeuille</w:t>
      </w:r>
    </w:p>
    <w:p>
      <w:pPr>
        <w:pStyle w:val="FirstParagraph"/>
      </w:pPr>
      <w:r>
        <w:t xml:space="preserve">L’interface de consultation du portefeuille permet au client de visualiser la</w:t>
      </w:r>
      <w:r>
        <w:t xml:space="preserve"> </w:t>
      </w:r>
      <w:r>
        <w:t xml:space="preserve">composition et la valorisation de ses actifs avant toute décision</w:t>
      </w:r>
      <w:r>
        <w:t xml:space="preserve"> </w:t>
      </w:r>
      <w:r>
        <w:t xml:space="preserve">d’investissement. Elle affiche les positions détenues, leur cours actuel et</w:t>
      </w:r>
      <w:r>
        <w:t xml:space="preserve"> </w:t>
      </w:r>
      <w:r>
        <w:t xml:space="preserve">la performance associée.</w:t>
      </w:r>
    </w:p>
    <w:bookmarkStart w:id="126" w:name="fig:ann_portefeuille_client"/>
    <w:tbl>
      <w:tblPr>
        <w:tblStyle w:val="FigureTable"/>
        <w:tblW w:type="auto" w:w="0"/>
        <w:jc w:val="center"/>
        <w:tblLook w:firstRow="0" w:lastRow="0" w:firstColumn="0" w:lastColumn="0"/>
      </w:tblPr>
      <w:tblGrid/>
    </w:tbl>
    <w:p>
      <w:pPr>
        <w:pStyle w:val="ImageCaption"/>
      </w:pPr>
      <w:r>
        <w:t xml:space="preserve">Consultation du portefeuille côté client</w:t>
      </w:r>
    </w:p>
    <w:bookmarkEnd w:id="126"/>
    <w:bookmarkStart w:id="127" w:name="résultat-illustré."/>
    <w:p>
      <w:pPr>
        <w:pStyle w:val="Heading5"/>
      </w:pPr>
      <w:r>
        <w:t xml:space="preserve">Résultat illustré.</w:t>
      </w:r>
    </w:p>
    <w:p>
      <w:pPr>
        <w:pStyle w:val="FirstParagraph"/>
      </w:pPr>
      <w:r>
        <w:t xml:space="preserve">Cette vue matérialise le point de départ du parcours : le client dispose d’une</w:t>
      </w:r>
      <w:r>
        <w:t xml:space="preserve"> </w:t>
      </w:r>
      <w:r>
        <w:t xml:space="preserve">lecture consolidée de ses positions avant de consulter un instrument ou</w:t>
      </w:r>
      <w:r>
        <w:t xml:space="preserve"> </w:t>
      </w:r>
      <w:r>
        <w:t xml:space="preserve">d’initier un ordre.</w:t>
      </w:r>
    </w:p>
    <w:bookmarkEnd w:id="127"/>
    <w:bookmarkEnd w:id="128"/>
    <w:bookmarkStart w:id="131" w:name="consultation-dun-titre"/>
    <w:p>
      <w:pPr>
        <w:pStyle w:val="Heading2"/>
      </w:pPr>
      <w:r>
        <w:t xml:space="preserve">Consultation d’un titre</w:t>
      </w:r>
    </w:p>
    <w:p>
      <w:pPr>
        <w:pStyle w:val="FirstParagraph"/>
      </w:pPr>
      <w:r>
        <w:t xml:space="preserve">La fiche d’un titre présente les informations nécessaires à la prise de</w:t>
      </w:r>
      <w:r>
        <w:t xml:space="preserve"> </w:t>
      </w:r>
      <w:r>
        <w:t xml:space="preserve">décision : cours actuel, variation, volume échangé, historique de cotation</w:t>
      </w:r>
      <w:r>
        <w:t xml:space="preserve"> </w:t>
      </w:r>
      <w:r>
        <w:t xml:space="preserve">et caractéristiques de l’instrument. Cette vue précède la saisie d’un ordre.</w:t>
      </w:r>
    </w:p>
    <w:bookmarkStart w:id="129" w:name="fig:ann_detail_titre"/>
    <w:tbl>
      <w:tblPr>
        <w:tblStyle w:val="FigureTable"/>
        <w:tblW w:type="auto" w:w="0"/>
        <w:jc w:val="center"/>
        <w:tblLook w:firstRow="0" w:lastRow="0" w:firstColumn="0" w:lastColumn="0"/>
      </w:tblPr>
      <w:tblGrid/>
    </w:tbl>
    <w:p>
      <w:pPr>
        <w:pStyle w:val="ImageCaption"/>
      </w:pPr>
      <w:r>
        <w:t xml:space="preserve">Fiche d’un titre BRVM affichée avec des données simulées</w:t>
      </w:r>
    </w:p>
    <w:bookmarkEnd w:id="129"/>
    <w:bookmarkStart w:id="130" w:name="résultat-illustré.-1"/>
    <w:p>
      <w:pPr>
        <w:pStyle w:val="Heading5"/>
      </w:pPr>
      <w:r>
        <w:t xml:space="preserve">Résultat illustré.</w:t>
      </w:r>
    </w:p>
    <w:p>
      <w:pPr>
        <w:pStyle w:val="FirstParagraph"/>
      </w:pPr>
      <w:r>
        <w:t xml:space="preserve">L’interface démontre la disponibilité d’informations de consultation utiles</w:t>
      </w:r>
      <w:r>
        <w:t xml:space="preserve"> </w:t>
      </w:r>
      <w:r>
        <w:t xml:space="preserve">à la décision. Les valeurs affichées servent à la démonstration fonctionnelle</w:t>
      </w:r>
      <w:r>
        <w:t xml:space="preserve"> </w:t>
      </w:r>
      <w:r>
        <w:t xml:space="preserve">et ne constituent pas une cotation officielle.</w:t>
      </w:r>
    </w:p>
    <w:bookmarkEnd w:id="130"/>
    <w:bookmarkEnd w:id="131"/>
    <w:bookmarkStart w:id="134" w:name="analyse-et-palmarès-des-titres-1"/>
    <w:p>
      <w:pPr>
        <w:pStyle w:val="Heading2"/>
      </w:pPr>
      <w:r>
        <w:t xml:space="preserve">Analyse et palmarès des titres</w:t>
      </w:r>
    </w:p>
    <w:p>
      <w:pPr>
        <w:pStyle w:val="FirstParagraph"/>
      </w:pPr>
      <w:r>
        <w:t xml:space="preserve">En complément de la consultation d’un titre, le module SGI propose une vue</w:t>
      </w:r>
      <w:r>
        <w:t xml:space="preserve"> </w:t>
      </w:r>
      <w:r>
        <w:t xml:space="preserve">d’analyse comparant les performances des instruments sur une période choisie et</w:t>
      </w:r>
      <w:r>
        <w:t xml:space="preserve"> </w:t>
      </w:r>
      <w:r>
        <w:t xml:space="preserve">mettant en évidence les meilleures et les plus faibles variations. L’utilisateur</w:t>
      </w:r>
      <w:r>
        <w:t xml:space="preserve"> </w:t>
      </w:r>
      <w:r>
        <w:t xml:space="preserve">filtre les résultats par horizon temporel (jour, semaine, mois, trimestre,</w:t>
      </w:r>
      <w:r>
        <w:t xml:space="preserve"> </w:t>
      </w:r>
      <w:r>
        <w:t xml:space="preserve">année). Cette vue soutient la lecture du marché avant la soumission d’un ordre.</w:t>
      </w:r>
    </w:p>
    <w:bookmarkStart w:id="132" w:name="fig:palmares_titres"/>
    <w:tbl>
      <w:tblPr>
        <w:tblStyle w:val="FigureTable"/>
        <w:tblW w:type="auto" w:w="0"/>
        <w:jc w:val="center"/>
        <w:tblLook w:firstRow="0" w:lastRow="0" w:firstColumn="0" w:lastColumn="0"/>
      </w:tblPr>
      <w:tblGrid/>
    </w:tbl>
    <w:p>
      <w:pPr>
        <w:pStyle w:val="ImageCaption"/>
      </w:pPr>
      <w:r>
        <w:t xml:space="preserve">Palmarès de titres BRVM sur données simulées</w:t>
      </w:r>
    </w:p>
    <w:bookmarkEnd w:id="132"/>
    <w:bookmarkStart w:id="133" w:name="résultat-illustré.-2"/>
    <w:p>
      <w:pPr>
        <w:pStyle w:val="Heading5"/>
      </w:pPr>
      <w:r>
        <w:t xml:space="preserve">Résultat illustré.</w:t>
      </w:r>
    </w:p>
    <w:p>
      <w:pPr>
        <w:pStyle w:val="FirstParagraph"/>
      </w:pPr>
      <w:r>
        <w:t xml:space="preserve">La vue de palmarès présente le classement des titres par variation sur la</w:t>
      </w:r>
      <w:r>
        <w:t xml:space="preserve"> </w:t>
      </w:r>
      <w:r>
        <w:t xml:space="preserve">période choisie. Les valeurs sont simulées et destinées à valider le parcours</w:t>
      </w:r>
      <w:r>
        <w:t xml:space="preserve"> </w:t>
      </w:r>
      <w:r>
        <w:t xml:space="preserve">d’analyse, en l’absence d’un flux officiel BRVM.</w:t>
      </w:r>
    </w:p>
    <w:bookmarkEnd w:id="133"/>
    <w:bookmarkEnd w:id="134"/>
    <w:bookmarkStart w:id="137" w:name="saisie-dun-ordre"/>
    <w:p>
      <w:pPr>
        <w:pStyle w:val="Heading2"/>
      </w:pPr>
      <w:r>
        <w:t xml:space="preserve">Saisie d’un ordre</w:t>
      </w:r>
    </w:p>
    <w:p>
      <w:pPr>
        <w:pStyle w:val="FirstParagraph"/>
      </w:pPr>
      <w:r>
        <w:t xml:space="preserve">Le formulaire de passage d’ordre permet au client de soumettre une intention</w:t>
      </w:r>
      <w:r>
        <w:t xml:space="preserve"> </w:t>
      </w:r>
      <w:r>
        <w:t xml:space="preserve">d’achat ou de vente sur un instrument coté. Une fois soumis, l’ordre suit le</w:t>
      </w:r>
      <w:r>
        <w:t xml:space="preserve"> </w:t>
      </w:r>
      <w:r>
        <w:t xml:space="preserve">workflow de traitement décrit au chapitre 2 : saisie, prise en charge par</w:t>
      </w:r>
      <w:r>
        <w:t xml:space="preserve"> </w:t>
      </w:r>
      <w:r>
        <w:t xml:space="preserve">l’équipe SGI, validation puis exécution.</w:t>
      </w:r>
    </w:p>
    <w:bookmarkStart w:id="135" w:name="fig:ann_passage_ordre"/>
    <w:tbl>
      <w:tblPr>
        <w:tblStyle w:val="FigureTable"/>
        <w:tblW w:type="auto" w:w="0"/>
        <w:jc w:val="center"/>
        <w:tblLook w:firstRow="0" w:lastRow="0" w:firstColumn="0" w:lastColumn="0"/>
      </w:tblPr>
      <w:tblGrid/>
    </w:tbl>
    <w:p>
      <w:pPr>
        <w:pStyle w:val="ImageCaption"/>
      </w:pPr>
      <w:r>
        <w:t xml:space="preserve">Formulaire de saisie d’un ordre d’investissement</w:t>
      </w:r>
    </w:p>
    <w:bookmarkEnd w:id="135"/>
    <w:bookmarkStart w:id="136" w:name="résultat-illustré.-3"/>
    <w:p>
      <w:pPr>
        <w:pStyle w:val="Heading5"/>
      </w:pPr>
      <w:r>
        <w:t xml:space="preserve">Résultat illustré.</w:t>
      </w:r>
    </w:p>
    <w:p>
      <w:pPr>
        <w:pStyle w:val="FirstParagraph"/>
      </w:pPr>
      <w:r>
        <w:t xml:space="preserve">Cette dernière interface complète le parcours client SGI en montrant la</w:t>
      </w:r>
      <w:r>
        <w:t xml:space="preserve"> </w:t>
      </w:r>
      <w:r>
        <w:t xml:space="preserve">traduction d’une décision de consultation en demande d’ordre, dont le</w:t>
      </w:r>
      <w:r>
        <w:t xml:space="preserve"> </w:t>
      </w:r>
      <w:r>
        <w:t xml:space="preserve">traitement métier a été présenté au chapitre 2.</w:t>
      </w:r>
    </w:p>
    <w:bookmarkEnd w:id="136"/>
    <w:bookmarkEnd w:id="137"/>
    <w:bookmarkEnd w:id="138"/>
    <w:bookmarkStart w:id="159" w:name="X471c5aad672433f8deb2f2879ee42b3163b1544"/>
    <w:p>
      <w:pPr>
        <w:pStyle w:val="Heading1"/>
      </w:pPr>
      <w:r>
        <w:t xml:space="preserve">Preuves fonctionnelles du module Relation Client</w:t>
      </w:r>
    </w:p>
    <w:p>
      <w:pPr>
        <w:pStyle w:val="FirstParagraph"/>
      </w:pPr>
      <w:bookmarkStart w:id="139" w:name="ann:recette-fonctionnelle"/>
      <w:bookmarkEnd w:id="139"/>
      <w:r>
        <w:t xml:space="preserve"> </w:t>
      </w:r>
      <w:bookmarkStart w:id="140" w:name="ann:preuves-relation-client"/>
      <w:bookmarkEnd w:id="140"/>
    </w:p>
    <w:p>
      <w:pPr>
        <w:pStyle w:val="BodyText"/>
      </w:pPr>
      <w:r>
        <w:t xml:space="preserve">Cette annexe rassemble les preuves complémentaires du module Relation Client.</w:t>
      </w:r>
      <w:r>
        <w:t xml:space="preserve"> </w:t>
      </w:r>
      <w:r>
        <w:t xml:space="preserve">Sa première partie prolonge la conception détaillée volontairement centrée sur</w:t>
      </w:r>
      <w:r>
        <w:t xml:space="preserve"> </w:t>
      </w:r>
      <w:r>
        <w:t xml:space="preserve">la gestion des prospects aux chapitres 2 et 3 : elle documente l’enregistrement</w:t>
      </w:r>
      <w:r>
        <w:t xml:space="preserve"> </w:t>
      </w:r>
      <w:r>
        <w:t xml:space="preserve">d’un prospect avec score, puis sa conversion en client. La seconde partie est</w:t>
      </w:r>
      <w:r>
        <w:t xml:space="preserve"> </w:t>
      </w:r>
      <w:r>
        <w:t xml:space="preserve">destinée aux captures démontrant la consultation documentaire et le suivi KYC,</w:t>
      </w:r>
      <w:r>
        <w:t xml:space="preserve"> </w:t>
      </w:r>
      <w:r>
        <w:t xml:space="preserve">objectifs mentionnés au chapitre 1 mais non développés dans la conception</w:t>
      </w:r>
      <w:r>
        <w:t xml:space="preserve"> </w:t>
      </w:r>
      <w:r>
        <w:t xml:space="preserve">détaillée.</w:t>
      </w:r>
      <w:r>
        <w:t xml:space="preserve"> </w:t>
      </w:r>
      <w:r>
        <w:t xml:space="preserve">Les identités, coordonnées et informations affichées dans ces captures</w:t>
      </w:r>
      <w:r>
        <w:t xml:space="preserve"> </w:t>
      </w:r>
      <w:r>
        <w:t xml:space="preserve">proviennent de comptes de test créés exclusivement pour la recette</w:t>
      </w:r>
      <w:r>
        <w:t xml:space="preserve"> </w:t>
      </w:r>
      <w:r>
        <w:t xml:space="preserve">fonctionnelle ; elles ne correspondent pas à des clients réels.</w:t>
      </w:r>
    </w:p>
    <w:bookmarkStart w:id="153" w:name="recette-de-la-gestion-des-prospects"/>
    <w:p>
      <w:pPr>
        <w:pStyle w:val="Heading2"/>
      </w:pPr>
      <w:r>
        <w:t xml:space="preserve">Recette de la gestion des prospects</w:t>
      </w:r>
    </w:p>
    <w:p>
      <w:pPr>
        <w:pStyle w:val="FirstParagraph"/>
      </w:pPr>
      <w:r>
        <w:t xml:space="preserve">Deux scénarios sont documentés :</w:t>
      </w:r>
    </w:p>
    <w:p>
      <w:pPr>
        <w:numPr>
          <w:ilvl w:val="0"/>
          <w:numId w:val="1012"/>
        </w:numPr>
      </w:pPr>
      <w:r>
        <w:t xml:space="preserve">la création d’un prospect, depuis le formulaire de saisie jusqu’à</w:t>
      </w:r>
      <w:r>
        <w:t xml:space="preserve"> </w:t>
      </w:r>
      <w:r>
        <w:t xml:space="preserve">l’affichage du prospect créé avec son score initial</w:t>
      </w:r>
      <w:r>
        <w:t xml:space="preserve"> </w:t>
      </w:r>
      <w:r>
        <w:t xml:space="preserve">(figures </w:t>
      </w:r>
      <w:hyperlink w:anchor="fig:recette_saisie_prospect">
        <w:r>
          <w:rPr>
            <w:rStyle w:val="Hyperlink"/>
          </w:rPr>
          <w:t xml:space="preserve">6.2</w:t>
        </w:r>
      </w:hyperlink>
      <w:r>
        <w:t xml:space="preserve"> </w:t>
      </w:r>
      <w:r>
        <w:t xml:space="preserve">et </w:t>
      </w:r>
      <w:hyperlink w:anchor="fig:recette_creation">
        <w:r>
          <w:rPr>
            <w:rStyle w:val="Hyperlink"/>
          </w:rPr>
          <w:t xml:space="preserve">6.3</w:t>
        </w:r>
      </w:hyperlink>
      <w:r>
        <w:t xml:space="preserve">) ;</w:t>
      </w:r>
    </w:p>
    <w:p>
      <w:pPr>
        <w:numPr>
          <w:ilvl w:val="0"/>
          <w:numId w:val="1012"/>
        </w:numPr>
      </w:pPr>
      <w:r>
        <w:t xml:space="preserve">la conversion d’un prospect en client, depuis la confirmation de</w:t>
      </w:r>
      <w:r>
        <w:t xml:space="preserve"> </w:t>
      </w:r>
      <w:r>
        <w:t xml:space="preserve">l’action jusqu’à la preuve du client créé</w:t>
      </w:r>
      <w:r>
        <w:t xml:space="preserve"> </w:t>
      </w:r>
      <w:r>
        <w:t xml:space="preserve">(figures </w:t>
      </w:r>
      <w:hyperlink w:anchor="fig:recette_confirmation_conversion">
        <w:r>
          <w:rPr>
            <w:rStyle w:val="Hyperlink"/>
          </w:rPr>
          <w:t xml:space="preserve">6.4</w:t>
        </w:r>
      </w:hyperlink>
      <w:r>
        <w:t xml:space="preserve"> </w:t>
      </w:r>
      <w:r>
        <w:t xml:space="preserve">à </w:t>
      </w:r>
      <w:hyperlink w:anchor="fig:recette_conversion_preuve">
        <w:r>
          <w:rPr>
            <w:rStyle w:val="Hyperlink"/>
          </w:rPr>
          <w:t xml:space="preserve">6.6</w:t>
        </w:r>
      </w:hyperlink>
      <w:r>
        <w:t xml:space="preserve">).</w:t>
      </w:r>
    </w:p>
    <w:p>
      <w:pPr>
        <w:pStyle w:val="FirstParagraph"/>
      </w:pPr>
      <w:r>
        <w:t xml:space="preserve">Le tableau </w:t>
      </w:r>
      <w:hyperlink w:anchor="tab:pieces_recette_annexe">
        <w:r>
          <w:rPr>
            <w:rStyle w:val="Hyperlink"/>
          </w:rPr>
          <w:t xml:space="preserve">6.1</w:t>
        </w:r>
      </w:hyperlink>
      <w:r>
        <w:t xml:space="preserve"> </w:t>
      </w:r>
      <w:r>
        <w:t xml:space="preserve">récapitule les actions exécutées,</w:t>
      </w:r>
      <w:r>
        <w:t xml:space="preserve"> </w:t>
      </w:r>
      <w:r>
        <w:t xml:space="preserve">les résultats observés et les pièces justificatives associées.</w:t>
      </w:r>
    </w:p>
    <w:bookmarkStart w:id="141" w:name="tab:pieces_recette_annexe"/>
    <w:p>
      <w:pPr>
        <w:pStyle w:val="TableCaption"/>
      </w:pPr>
      <w:r>
        <w:t xml:space="preserve">Vérifications de recette de la gestion des prospects</w:t>
      </w:r>
    </w:p>
    <w:tbl>
      <w:tblPr>
        <w:tblStyle w:val="Table"/>
        <w:tblW w:type="auto" w:w="0"/>
        <w:tblLook w:firstRow="1" w:lastRow="0" w:firstColumn="0" w:lastColumn="0" w:noHBand="0" w:noVBand="0" w:val="0020"/>
        <w:tblCaption w:val="Vérifications de recette de la gestion des prospects"/>
      </w:tblPr>
      <w:tblGrid>
        <w:gridCol w:w="1980"/>
        <w:gridCol w:w="1980"/>
        <w:gridCol w:w="1980"/>
        <w:gridCol w:w="1980"/>
      </w:tblGrid>
      <w:tr>
        <w:trPr>
          <w:tblHeader w:val="on"/>
        </w:trPr>
        <w:tc>
          <w:tcPr/>
          <w:p>
            <w:pPr>
              <w:pStyle w:val="Compact"/>
              <w:jc w:val="left"/>
            </w:pPr>
            <w:r>
              <w:rPr>
                <w:b/>
                <w:bCs/>
              </w:rPr>
              <w:t xml:space="preserve">Scénario</w:t>
            </w:r>
          </w:p>
        </w:tc>
        <w:tc>
          <w:tcPr/>
          <w:p>
            <w:pPr>
              <w:pStyle w:val="Compact"/>
              <w:jc w:val="left"/>
            </w:pPr>
            <w:r>
              <w:rPr>
                <w:b/>
                <w:bCs/>
              </w:rPr>
              <w:t xml:space="preserve">Action exécutée</w:t>
            </w:r>
          </w:p>
        </w:tc>
        <w:tc>
          <w:tcPr/>
          <w:p>
            <w:pPr>
              <w:pStyle w:val="Compact"/>
              <w:jc w:val="left"/>
            </w:pPr>
            <w:r>
              <w:rPr>
                <w:b/>
                <w:bCs/>
              </w:rPr>
              <w:t xml:space="preserve">Résultat attendu / observé</w:t>
            </w:r>
          </w:p>
        </w:tc>
        <w:tc>
          <w:tcPr/>
          <w:p>
            <w:pPr>
              <w:pStyle w:val="Compact"/>
              <w:jc w:val="left"/>
            </w:pPr>
            <w:r>
              <w:rPr>
                <w:b/>
                <w:bCs/>
              </w:rPr>
              <w:t xml:space="preserve">Preuve / statut</w:t>
            </w:r>
          </w:p>
        </w:tc>
      </w:tr>
      <w:tr>
        <w:tc>
          <w:tcPr/>
          <w:p>
            <w:pPr>
              <w:pStyle w:val="Compact"/>
              <w:jc w:val="left"/>
            </w:pPr>
            <w:r>
              <w:t xml:space="preserve">Création d’un prospect</w:t>
            </w:r>
          </w:p>
        </w:tc>
        <w:tc>
          <w:tcPr/>
          <w:p>
            <w:pPr>
              <w:pStyle w:val="Compact"/>
              <w:jc w:val="left"/>
            </w:pPr>
            <w:r>
              <w:t xml:space="preserve">Soumettre un formulaire de prospect renseigné.</w:t>
            </w:r>
          </w:p>
        </w:tc>
        <w:tc>
          <w:tcPr/>
          <w:p>
            <w:pPr>
              <w:pStyle w:val="Compact"/>
              <w:jc w:val="left"/>
            </w:pPr>
            <w:r>
              <w:t xml:space="preserve">Prospect enregistré et affiché dans la liste avec un score initial de 50/100.</w:t>
            </w:r>
          </w:p>
        </w:tc>
        <w:tc>
          <w:tcPr/>
          <w:p>
            <w:pPr>
              <w:pStyle w:val="Compact"/>
              <w:jc w:val="left"/>
            </w:pPr>
            <w:r>
              <w:t xml:space="preserve">Figures </w:t>
            </w:r>
            <w:hyperlink w:anchor="fig:recette_saisie_prospect">
              <w:r>
                <w:rPr>
                  <w:rStyle w:val="Hyperlink"/>
                </w:rPr>
                <w:t xml:space="preserve">6.2</w:t>
              </w:r>
            </w:hyperlink>
            <w:r>
              <w:t xml:space="preserve">–</w:t>
            </w:r>
            <w:hyperlink w:anchor="fig:recette_creation">
              <w:r>
                <w:rPr>
                  <w:rStyle w:val="Hyperlink"/>
                </w:rPr>
                <w:t xml:space="preserve">6.3</w:t>
              </w:r>
            </w:hyperlink>
            <w:r>
              <w:t xml:space="preserve"> </w:t>
            </w:r>
            <w:r>
              <w:t xml:space="preserve">/</w:t>
            </w:r>
            <w:r>
              <w:t xml:space="preserve"> </w:t>
            </w:r>
            <w:r>
              <w:t xml:space="preserve">Conforme.</w:t>
            </w:r>
          </w:p>
        </w:tc>
      </w:tr>
      <w:tr>
        <w:tc>
          <w:tcPr/>
          <w:p>
            <w:pPr>
              <w:pStyle w:val="Compact"/>
              <w:jc w:val="left"/>
            </w:pPr>
            <w:r>
              <w:t xml:space="preserve">Conversion en client</w:t>
            </w:r>
          </w:p>
        </w:tc>
        <w:tc>
          <w:tcPr/>
          <w:p>
            <w:pPr>
              <w:pStyle w:val="Compact"/>
              <w:jc w:val="left"/>
            </w:pPr>
            <w:r>
              <w:t xml:space="preserve">Confirmer la conversion d’un prospect sélectionné.</w:t>
            </w:r>
          </w:p>
        </w:tc>
        <w:tc>
          <w:tcPr/>
          <w:p>
            <w:pPr>
              <w:pStyle w:val="Compact"/>
              <w:jc w:val="left"/>
            </w:pPr>
            <w:r>
              <w:t xml:space="preserve">Confirmation proposée, statut du prospect passé à</w:t>
            </w:r>
            <w:r>
              <w:t xml:space="preserve"> </w:t>
            </w:r>
            <w:r>
              <w:rPr>
                <w:i/>
                <w:iCs/>
              </w:rPr>
              <w:t xml:space="preserve">Converti</w:t>
            </w:r>
            <w:r>
              <w:t xml:space="preserve"> </w:t>
            </w:r>
            <w:r>
              <w:t xml:space="preserve">et client</w:t>
            </w:r>
            <w:r>
              <w:t xml:space="preserve"> </w:t>
            </w:r>
            <w:r>
              <w:t xml:space="preserve">visible dans le portefeuille clients.</w:t>
            </w:r>
          </w:p>
        </w:tc>
        <w:tc>
          <w:tcPr/>
          <w:p>
            <w:pPr>
              <w:pStyle w:val="Compact"/>
              <w:jc w:val="left"/>
            </w:pPr>
            <w:r>
              <w:t xml:space="preserve">Figures </w:t>
            </w:r>
            <w:hyperlink w:anchor="fig:recette_confirmation_conversion">
              <w:r>
                <w:rPr>
                  <w:rStyle w:val="Hyperlink"/>
                </w:rPr>
                <w:t xml:space="preserve">6.4</w:t>
              </w:r>
            </w:hyperlink>
            <w:r>
              <w:t xml:space="preserve">–</w:t>
            </w:r>
            <w:hyperlink w:anchor="fig:recette_conversion_preuve">
              <w:r>
                <w:rPr>
                  <w:rStyle w:val="Hyperlink"/>
                </w:rPr>
                <w:t xml:space="preserve">6.6</w:t>
              </w:r>
            </w:hyperlink>
            <w:r>
              <w:t xml:space="preserve"> </w:t>
            </w:r>
            <w:r>
              <w:t xml:space="preserve">/</w:t>
            </w:r>
            <w:r>
              <w:t xml:space="preserve"> </w:t>
            </w:r>
            <w:r>
              <w:t xml:space="preserve">Conforme.</w:t>
            </w:r>
          </w:p>
        </w:tc>
      </w:tr>
    </w:tbl>
    <w:bookmarkEnd w:id="141"/>
    <w:bookmarkStart w:id="143" w:name="vue-densemble-du-pipeline"/>
    <w:p>
      <w:pPr>
        <w:pStyle w:val="Heading3"/>
      </w:pPr>
      <w:r>
        <w:t xml:space="preserve">Vue d’ensemble du pipeline</w:t>
      </w:r>
    </w:p>
    <w:p>
      <w:pPr>
        <w:pStyle w:val="FirstParagraph"/>
      </w:pPr>
      <w:r>
        <w:t xml:space="preserve">Avant de détailler les scénarios de recette, la</w:t>
      </w:r>
      <w:r>
        <w:t xml:space="preserve"> </w:t>
      </w:r>
      <w:r>
        <w:t xml:space="preserve">figure </w:t>
      </w:r>
      <w:hyperlink w:anchor="fig:gestion_prospects">
        <w:r>
          <w:rPr>
            <w:rStyle w:val="Hyperlink"/>
          </w:rPr>
          <w:t xml:space="preserve">6.1</w:t>
        </w:r>
      </w:hyperlink>
      <w:r>
        <w:t xml:space="preserve"> </w:t>
      </w:r>
      <w:r>
        <w:t xml:space="preserve">présente la vue d’ensemble du pipeline de</w:t>
      </w:r>
      <w:r>
        <w:t xml:space="preserve"> </w:t>
      </w:r>
      <w:r>
        <w:t xml:space="preserve">prospects : chaque prospect y apparaît avec son étape d’avancement, sa priorité</w:t>
      </w:r>
      <w:r>
        <w:t xml:space="preserve"> </w:t>
      </w:r>
      <w:r>
        <w:t xml:space="preserve">et son score de conversion calculé par le modèle d’intelligence artificielle.</w:t>
      </w:r>
    </w:p>
    <w:bookmarkStart w:id="142" w:name="fig:gestion_prospects"/>
    <w:tbl>
      <w:tblPr>
        <w:tblStyle w:val="FigureTable"/>
        <w:tblW w:type="auto" w:w="0"/>
        <w:jc w:val="center"/>
        <w:tblLook w:firstRow="0" w:lastRow="0" w:firstColumn="0" w:lastColumn="0"/>
      </w:tblPr>
      <w:tblGrid/>
    </w:tbl>
    <w:p>
      <w:pPr>
        <w:pStyle w:val="ImageCaption"/>
      </w:pPr>
      <w:r>
        <w:t xml:space="preserve">Pipeline de gestion des prospects avec score IA</w:t>
      </w:r>
    </w:p>
    <w:bookmarkEnd w:id="142"/>
    <w:bookmarkEnd w:id="143"/>
    <w:bookmarkStart w:id="147" w:name="création-dun-prospect-1"/>
    <w:p>
      <w:pPr>
        <w:pStyle w:val="Heading3"/>
      </w:pPr>
      <w:r>
        <w:t xml:space="preserve">Création d’un prospect</w:t>
      </w:r>
    </w:p>
    <w:p>
      <w:pPr>
        <w:pStyle w:val="FirstParagraph"/>
      </w:pPr>
      <w:r>
        <w:t xml:space="preserve">La création d’un prospect commence par la saisie des informations commerciales</w:t>
      </w:r>
      <w:r>
        <w:t xml:space="preserve"> </w:t>
      </w:r>
      <w:r>
        <w:t xml:space="preserve">depuis l’interface du chargé de clientèle. Les deux figures suivantes mettent</w:t>
      </w:r>
      <w:r>
        <w:t xml:space="preserve"> </w:t>
      </w:r>
      <w:r>
        <w:t xml:space="preserve">en regard l’action réalisée et son résultat observable : la présence du</w:t>
      </w:r>
      <w:r>
        <w:t xml:space="preserve"> </w:t>
      </w:r>
      <w:r>
        <w:t xml:space="preserve">prospect dans la liste avec un score initial affiché. Le traitement interne</w:t>
      </w:r>
      <w:r>
        <w:t xml:space="preserve"> </w:t>
      </w:r>
      <w:r>
        <w:t xml:space="preserve">associé est décrit par le workflow du chapitre 3.</w:t>
      </w:r>
    </w:p>
    <w:bookmarkStart w:id="144" w:name="fig:recette_saisie_prospect"/>
    <w:tbl>
      <w:tblPr>
        <w:tblStyle w:val="FigureTable"/>
        <w:tblW w:type="auto" w:w="0"/>
        <w:jc w:val="center"/>
        <w:tblLook w:firstRow="0" w:lastRow="0" w:firstColumn="0" w:lastColumn="0"/>
      </w:tblPr>
      <w:tblGrid/>
    </w:tbl>
    <w:p>
      <w:pPr>
        <w:pStyle w:val="ImageCaption"/>
      </w:pPr>
      <w:r>
        <w:t xml:space="preserve">Saisie d’un nouveau prospect par le chargé de clientèle</w:t>
      </w:r>
    </w:p>
    <w:bookmarkEnd w:id="144"/>
    <w:bookmarkStart w:id="145" w:name="fig:recette_creation"/>
    <w:tbl>
      <w:tblPr>
        <w:tblStyle w:val="FigureTable"/>
        <w:tblW w:type="auto" w:w="0"/>
        <w:jc w:val="center"/>
        <w:tblLook w:firstRow="0" w:lastRow="0" w:firstColumn="0" w:lastColumn="0"/>
      </w:tblPr>
      <w:tblGrid/>
    </w:tbl>
    <w:p>
      <w:pPr>
        <w:pStyle w:val="ImageCaption"/>
      </w:pPr>
      <w:r>
        <w:t xml:space="preserve">Prospect enregistré avec score initial calculé</w:t>
      </w:r>
    </w:p>
    <w:bookmarkEnd w:id="145"/>
    <w:bookmarkStart w:id="146" w:name="résultat-observé."/>
    <w:p>
      <w:pPr>
        <w:pStyle w:val="Heading5"/>
      </w:pPr>
      <w:r>
        <w:t xml:space="preserve">Résultat observé.</w:t>
      </w:r>
    </w:p>
    <w:p>
      <w:pPr>
        <w:pStyle w:val="FirstParagraph"/>
      </w:pPr>
      <w:r>
        <w:t xml:space="preserve">La figure </w:t>
      </w:r>
      <w:hyperlink w:anchor="fig:recette_creation">
        <w:r>
          <w:rPr>
            <w:rStyle w:val="Hyperlink"/>
          </w:rPr>
          <w:t xml:space="preserve">6.3</w:t>
        </w:r>
      </w:hyperlink>
      <w:r>
        <w:t xml:space="preserve"> </w:t>
      </w:r>
      <w:r>
        <w:t xml:space="preserve">montre que le prospect saisi est présent</w:t>
      </w:r>
      <w:r>
        <w:t xml:space="preserve"> </w:t>
      </w:r>
      <w:r>
        <w:t xml:space="preserve">dans la liste avec un score initial de 50/100. Ce résultat constitue la preuve</w:t>
      </w:r>
      <w:r>
        <w:t xml:space="preserve"> </w:t>
      </w:r>
      <w:r>
        <w:t xml:space="preserve">fonctionnelle retenue pour le scénario de création.</w:t>
      </w:r>
    </w:p>
    <w:bookmarkEnd w:id="146"/>
    <w:bookmarkEnd w:id="147"/>
    <w:bookmarkStart w:id="152" w:name="conversion-dun-prospect-en-client"/>
    <w:p>
      <w:pPr>
        <w:pStyle w:val="Heading3"/>
      </w:pPr>
      <w:r>
        <w:t xml:space="preserve">Conversion d’un prospect en client</w:t>
      </w:r>
    </w:p>
    <w:p>
      <w:pPr>
        <w:pStyle w:val="FirstParagraph"/>
      </w:pPr>
      <w:r>
        <w:t xml:space="preserve">La conversion est déclenchée par le chargé de clientèle lorsqu’il décide de</w:t>
      </w:r>
      <w:r>
        <w:t xml:space="preserve"> </w:t>
      </w:r>
      <w:r>
        <w:t xml:space="preserve">transformer un prospect en client. Les preuves retenues ci-dessous vérifient</w:t>
      </w:r>
      <w:r>
        <w:t xml:space="preserve"> </w:t>
      </w:r>
      <w:r>
        <w:t xml:space="preserve">les effets directement observables de ce traitement : la confirmation de</w:t>
      </w:r>
      <w:r>
        <w:t xml:space="preserve"> </w:t>
      </w:r>
      <w:r>
        <w:t xml:space="preserve">l’action, la mise à jour de l’état du prospect et l’apparition du client créé.</w:t>
      </w:r>
    </w:p>
    <w:bookmarkStart w:id="148" w:name="fig:recette_confirmation_conversion"/>
    <w:tbl>
      <w:tblPr>
        <w:tblStyle w:val="FigureTable"/>
        <w:tblW w:type="auto" w:w="0"/>
        <w:jc w:val="center"/>
        <w:tblLook w:firstRow="0" w:lastRow="0" w:firstColumn="0" w:lastColumn="0"/>
      </w:tblPr>
      <w:tblGrid/>
    </w:tbl>
    <w:p>
      <w:pPr>
        <w:pStyle w:val="ImageCaption"/>
      </w:pPr>
      <w:r>
        <w:t xml:space="preserve">Confirmation de la conversion d’un prospect en client</w:t>
      </w:r>
    </w:p>
    <w:bookmarkEnd w:id="148"/>
    <w:bookmarkStart w:id="149" w:name="fig:recette_conversion"/>
    <w:tbl>
      <w:tblPr>
        <w:tblStyle w:val="FigureTable"/>
        <w:tblW w:type="auto" w:w="0"/>
        <w:jc w:val="center"/>
        <w:tblLook w:firstRow="0" w:lastRow="0" w:firstColumn="0" w:lastColumn="0"/>
      </w:tblPr>
      <w:tblGrid/>
    </w:tbl>
    <w:p>
      <w:pPr>
        <w:pStyle w:val="ImageCaption"/>
      </w:pPr>
      <w:r>
        <w:t xml:space="preserve">Prospect converti en client à l’issue du workflow</w:t>
      </w:r>
    </w:p>
    <w:bookmarkEnd w:id="149"/>
    <w:bookmarkStart w:id="150" w:name="fig:recette_conversion_preuve"/>
    <w:tbl>
      <w:tblPr>
        <w:tblStyle w:val="FigureTable"/>
        <w:tblW w:type="auto" w:w="0"/>
        <w:jc w:val="center"/>
        <w:tblLook w:firstRow="0" w:lastRow="0" w:firstColumn="0" w:lastColumn="0"/>
      </w:tblPr>
      <w:tblGrid/>
    </w:tbl>
    <w:p>
      <w:pPr>
        <w:pStyle w:val="ImageCaption"/>
      </w:pPr>
      <w:r>
        <w:t xml:space="preserve">Client créé à la suite de la conversion du prospect</w:t>
      </w:r>
    </w:p>
    <w:bookmarkEnd w:id="150"/>
    <w:bookmarkStart w:id="151" w:name="résultat-observé.-1"/>
    <w:p>
      <w:pPr>
        <w:pStyle w:val="Heading5"/>
      </w:pPr>
      <w:r>
        <w:t xml:space="preserve">Résultat observé.</w:t>
      </w:r>
    </w:p>
    <w:p>
      <w:pPr>
        <w:pStyle w:val="FirstParagraph"/>
      </w:pPr>
      <w:r>
        <w:t xml:space="preserve">La séquence présente d’abord l’action validée par le chargé de clientèle, puis</w:t>
      </w:r>
      <w:r>
        <w:t xml:space="preserve"> </w:t>
      </w:r>
      <w:r>
        <w:t xml:space="preserve">le prospect avec l’état</w:t>
      </w:r>
      <w:r>
        <w:t xml:space="preserve"> </w:t>
      </w:r>
      <w:r>
        <w:rPr>
          <w:i/>
          <w:iCs/>
        </w:rPr>
        <w:t xml:space="preserve">Converti</w:t>
      </w:r>
      <w:r>
        <w:t xml:space="preserve">, et enfin le client nouvellement</w:t>
      </w:r>
      <w:r>
        <w:t xml:space="preserve"> </w:t>
      </w:r>
      <w:r>
        <w:t xml:space="preserve">visible dans le portefeuille. Elle établit ainsi la continuité entre</w:t>
      </w:r>
      <w:r>
        <w:t xml:space="preserve"> </w:t>
      </w:r>
      <w:r>
        <w:t xml:space="preserve">l’opération métier et son résultat dans l’interface.</w:t>
      </w:r>
    </w:p>
    <w:bookmarkEnd w:id="151"/>
    <w:bookmarkEnd w:id="152"/>
    <w:bookmarkEnd w:id="153"/>
    <w:bookmarkStart w:id="158" w:name="X241a0d9422aaf1a252a9f74cee8e3a5074bd1e6"/>
    <w:p>
      <w:pPr>
        <w:pStyle w:val="Heading2"/>
      </w:pPr>
      <w:r>
        <w:t xml:space="preserve">Suivi client et fonctions complémentaires</w:t>
      </w:r>
    </w:p>
    <w:p>
      <w:pPr>
        <w:pStyle w:val="FirstParagraph"/>
      </w:pPr>
      <w:r>
        <w:t xml:space="preserve">Cette partie réunit les preuves visuelles des autres objectifs du module</w:t>
      </w:r>
      <w:r>
        <w:t xml:space="preserve"> </w:t>
      </w:r>
      <w:r>
        <w:t xml:space="preserve">Relation Client. L’interface du chargé de clientèle est déjà présentée au</w:t>
      </w:r>
      <w:r>
        <w:t xml:space="preserve"> </w:t>
      </w:r>
      <w:r>
        <w:t xml:space="preserve">chapitre 4 ; les captures suivantes complètent cette preuve par le tableau de</w:t>
      </w:r>
      <w:r>
        <w:t xml:space="preserve"> </w:t>
      </w:r>
      <w:r>
        <w:t xml:space="preserve">bord du chargé, la fiche 360° client (qui intègre le statut KYC et l’analyse de</w:t>
      </w:r>
      <w:r>
        <w:t xml:space="preserve"> </w:t>
      </w:r>
      <w:r>
        <w:t xml:space="preserve">risque de départ par l’IA) et la consultation documentaire. Les captures</w:t>
      </w:r>
      <w:r>
        <w:t xml:space="preserve"> </w:t>
      </w:r>
      <w:r>
        <w:t xml:space="preserve">utilisent exclusivement des données de test et établissent les résultats</w:t>
      </w:r>
      <w:r>
        <w:t xml:space="preserve"> </w:t>
      </w:r>
      <w:r>
        <w:t xml:space="preserve">visibles dans l’application.</w:t>
      </w:r>
    </w:p>
    <w:bookmarkStart w:id="154" w:name="tableau-de-bord-du-chargé-de-clientèle"/>
    <w:p>
      <w:pPr>
        <w:pStyle w:val="Heading3"/>
      </w:pPr>
      <w:r>
        <w:t xml:space="preserve">Tableau de bord du chargé de clientèle</w:t>
      </w:r>
    </w:p>
    <w:p>
      <w:pPr>
        <w:pStyle w:val="FirstParagraph"/>
      </w:pPr>
      <w:r>
        <w:t xml:space="preserve">En complément du portefeuille clients présenté au chapitre 4</w:t>
      </w:r>
      <w:r>
        <w:t xml:space="preserve"> </w:t>
      </w:r>
      <w:r>
        <w:t xml:space="preserve">(figure </w:t>
      </w:r>
      <w:hyperlink w:anchor="fig:portefeuille_clients">
        <w:r>
          <w:rPr>
            <w:rStyle w:val="Hyperlink"/>
          </w:rPr>
          <w:t xml:space="preserve">4.1</w:t>
        </w:r>
      </w:hyperlink>
      <w:r>
        <w:t xml:space="preserve">), le chargé de clientèle dispose d’un</w:t>
      </w:r>
      <w:r>
        <w:t xml:space="preserve"> </w:t>
      </w:r>
      <w:r>
        <w:t xml:space="preserve">tableau de bord synthétique regroupant ses indicateurs clés : nombre de</w:t>
      </w:r>
      <w:r>
        <w:t xml:space="preserve"> </w:t>
      </w:r>
      <w:r>
        <w:t xml:space="preserve">clients, valeur du portefeuille, prospects et tâches en attente.</w:t>
      </w:r>
    </w:p>
    <w:bookmarkEnd w:id="154"/>
    <w:bookmarkStart w:id="155" w:name="vue-360-client"/>
    <w:p>
      <w:pPr>
        <w:pStyle w:val="Heading3"/>
      </w:pPr>
      <w:r>
        <w:t xml:space="preserve">Vue 360° client</w:t>
      </w:r>
    </w:p>
    <w:p>
      <w:pPr>
        <w:pStyle w:val="FirstParagraph"/>
      </w:pPr>
      <w:r>
        <w:t xml:space="preserve">La vue 360° consolide en une seule page le profil du client, ses comptes et</w:t>
      </w:r>
      <w:r>
        <w:t xml:space="preserve"> </w:t>
      </w:r>
      <w:r>
        <w:t xml:space="preserve">produits, son</w:t>
      </w:r>
      <w:r>
        <w:t xml:space="preserve"> </w:t>
      </w:r>
      <w:r>
        <w:rPr>
          <w:b/>
          <w:bCs/>
        </w:rPr>
        <w:t xml:space="preserve">statut KYC</w:t>
      </w:r>
      <w:r>
        <w:t xml:space="preserve"> </w:t>
      </w:r>
      <w:r>
        <w:t xml:space="preserve">(conformité) ainsi que l’</w:t>
      </w:r>
      <w:r>
        <w:rPr>
          <w:b/>
          <w:bCs/>
        </w:rPr>
        <w:t xml:space="preserve">analyse de</w:t>
      </w:r>
      <w:r>
        <w:rPr>
          <w:b/>
          <w:bCs/>
        </w:rPr>
        <w:t xml:space="preserve"> </w:t>
      </w:r>
      <w:r>
        <w:rPr>
          <w:b/>
          <w:bCs/>
        </w:rPr>
        <w:t xml:space="preserve">risque de départ</w:t>
      </w:r>
      <w:r>
        <w:t xml:space="preserve"> </w:t>
      </w:r>
      <w:r>
        <w:t xml:space="preserve">estimée par le modèle d’intelligence artificielle. Elle</w:t>
      </w:r>
      <w:r>
        <w:t xml:space="preserve"> </w:t>
      </w:r>
      <w:r>
        <w:t xml:space="preserve">couvre ainsi à la fois la connaissance client, le suivi de conformité et</w:t>
      </w:r>
      <w:r>
        <w:t xml:space="preserve"> </w:t>
      </w:r>
      <w:r>
        <w:t xml:space="preserve">l’indicateur de churn.</w:t>
      </w:r>
    </w:p>
    <w:bookmarkEnd w:id="155"/>
    <w:bookmarkStart w:id="157" w:name="consultation-des-documents-client"/>
    <w:p>
      <w:pPr>
        <w:pStyle w:val="Heading3"/>
      </w:pPr>
      <w:r>
        <w:t xml:space="preserve">Consultation des documents client</w:t>
      </w:r>
    </w:p>
    <w:bookmarkStart w:id="156" w:name="résultat-observé.-2"/>
    <w:p>
      <w:pPr>
        <w:pStyle w:val="Heading5"/>
      </w:pPr>
      <w:r>
        <w:t xml:space="preserve">Résultat observé.</w:t>
      </w:r>
    </w:p>
    <w:p>
      <w:pPr>
        <w:pStyle w:val="FirstParagraph"/>
      </w:pPr>
      <w:r>
        <w:t xml:space="preserve">La figure B.9 montre que les documents associés au client sont accessibles</w:t>
      </w:r>
      <w:r>
        <w:t xml:space="preserve"> </w:t>
      </w:r>
      <w:r>
        <w:t xml:space="preserve">depuis le dossier client. Elle complète les preuves du module Relation Client en</w:t>
      </w:r>
      <w:r>
        <w:t xml:space="preserve"> </w:t>
      </w:r>
      <w:r>
        <w:t xml:space="preserve">illustrant la consultation documentaire à partir de données de test.</w:t>
      </w:r>
    </w:p>
    <w:bookmarkEnd w:id="156"/>
    <w:bookmarkEnd w:id="157"/>
    <w:bookmarkEnd w:id="158"/>
    <w:bookmarkEnd w:id="159"/>
    <w:bookmarkStart w:id="170" w:name="module-manager-et-audit-des-opérations"/>
    <w:p>
      <w:pPr>
        <w:pStyle w:val="Heading1"/>
      </w:pPr>
      <w:r>
        <w:t xml:space="preserve">Module Manager et audit des opérations</w:t>
      </w:r>
    </w:p>
    <w:p>
      <w:pPr>
        <w:pStyle w:val="FirstParagraph"/>
      </w:pPr>
      <w:bookmarkStart w:id="160" w:name="ann:administration-acces"/>
      <w:bookmarkEnd w:id="160"/>
    </w:p>
    <w:p>
      <w:pPr>
        <w:pStyle w:val="BodyText"/>
      </w:pPr>
      <w:r>
        <w:t xml:space="preserve">Dans un contexte bancaire, le contrôle des droits d’accès et la traçabilité</w:t>
      </w:r>
      <w:r>
        <w:t xml:space="preserve"> </w:t>
      </w:r>
      <w:r>
        <w:t xml:space="preserve">des opérations participent à la sécurisation des parcours métier. La</w:t>
      </w:r>
      <w:r>
        <w:t xml:space="preserve"> </w:t>
      </w:r>
      <w:r>
        <w:t xml:space="preserve">plateforme I-SIB intègre un</w:t>
      </w:r>
      <w:r>
        <w:t xml:space="preserve"> </w:t>
      </w:r>
      <w:r>
        <w:rPr>
          <w:b/>
          <w:bCs/>
        </w:rPr>
        <w:t xml:space="preserve">module Manager</w:t>
      </w:r>
      <w:r>
        <w:t xml:space="preserve"> </w:t>
      </w:r>
      <w:r>
        <w:t xml:space="preserve">présentant les modules</w:t>
      </w:r>
      <w:r>
        <w:t xml:space="preserve"> </w:t>
      </w:r>
      <w:r>
        <w:t xml:space="preserve">administrables et le référentiel des rôles auxquels sont associées des actions</w:t>
      </w:r>
      <w:r>
        <w:t xml:space="preserve"> </w:t>
      </w:r>
      <w:r>
        <w:t xml:space="preserve">autorisées. Elle propose également, dans le back-office</w:t>
      </w:r>
      <w:r>
        <w:t xml:space="preserve"> </w:t>
      </w:r>
      <w:r>
        <w:t xml:space="preserve">d’administration, une section</w:t>
      </w:r>
      <w:r>
        <w:t xml:space="preserve"> </w:t>
      </w:r>
      <w:r>
        <w:rPr>
          <w:b/>
          <w:bCs/>
        </w:rPr>
        <w:t xml:space="preserve">Audit</w:t>
      </w:r>
      <w:r>
        <w:t xml:space="preserve"> </w:t>
      </w:r>
      <w:r>
        <w:t xml:space="preserve">permettant de consulter les</w:t>
      </w:r>
      <w:r>
        <w:t xml:space="preserve"> </w:t>
      </w:r>
      <w:r>
        <w:t xml:space="preserve">actions enregistrées.</w:t>
      </w:r>
    </w:p>
    <w:p>
      <w:pPr>
        <w:pStyle w:val="BodyText"/>
      </w:pPr>
      <w:r>
        <w:t xml:space="preserve">Cette annexe présente la traduction fonctionnelle de ces mécanismes dans</w:t>
      </w:r>
      <w:r>
        <w:t xml:space="preserve"> </w:t>
      </w:r>
      <w:r>
        <w:t xml:space="preserve">l’environnement de validation. Les captures démontrent la présence des</w:t>
      </w:r>
      <w:r>
        <w:t xml:space="preserve"> </w:t>
      </w:r>
      <w:r>
        <w:t xml:space="preserve">interfaces Manager et Audit ; elles ne constituent ni une vérification</w:t>
      </w:r>
      <w:r>
        <w:t xml:space="preserve"> </w:t>
      </w:r>
      <w:r>
        <w:t xml:space="preserve">complète des droits d’accès ni un audit de sécurité avant production.</w:t>
      </w:r>
      <w:r>
        <w:t xml:space="preserve"> </w:t>
      </w:r>
      <w:r>
        <w:t xml:space="preserve">Les identifiants visibles dans la capture d’audit relèvent du jeu de</w:t>
      </w:r>
      <w:r>
        <w:t xml:space="preserve"> </w:t>
      </w:r>
      <w:r>
        <w:t xml:space="preserve">démonstration utilisé pour la validation.</w:t>
      </w:r>
    </w:p>
    <w:bookmarkStart w:id="161" w:name="tab:preuves_acces_audit"/>
    <w:p>
      <w:pPr>
        <w:pStyle w:val="TableCaption"/>
      </w:pPr>
      <w:r>
        <w:t xml:space="preserve">Éléments de preuve relatifs aux accès et à l’audit</w:t>
      </w:r>
    </w:p>
    <w:tbl>
      <w:tblPr>
        <w:tblStyle w:val="Table"/>
        <w:tblW w:type="auto" w:w="0"/>
        <w:tblLook w:firstRow="1" w:lastRow="0" w:firstColumn="0" w:lastColumn="0" w:noHBand="0" w:noVBand="0" w:val="0020"/>
        <w:tblCaption w:val="Éléments de preuve relatifs aux accès et à l’audit"/>
      </w:tblPr>
      <w:tblGrid>
        <w:gridCol w:w="1980"/>
        <w:gridCol w:w="1980"/>
        <w:gridCol w:w="1980"/>
        <w:gridCol w:w="1980"/>
      </w:tblGrid>
      <w:tr>
        <w:trPr>
          <w:tblHeader w:val="on"/>
        </w:trPr>
        <w:tc>
          <w:tcPr/>
          <w:p>
            <w:pPr>
              <w:pStyle w:val="Compact"/>
              <w:jc w:val="left"/>
            </w:pPr>
            <w:r>
              <w:rPr>
                <w:b/>
                <w:bCs/>
              </w:rPr>
              <w:t xml:space="preserve">Vérification</w:t>
            </w:r>
          </w:p>
        </w:tc>
        <w:tc>
          <w:tcPr/>
          <w:p>
            <w:pPr>
              <w:pStyle w:val="Compact"/>
              <w:jc w:val="left"/>
            </w:pPr>
            <w:r>
              <w:rPr>
                <w:b/>
                <w:bCs/>
              </w:rPr>
              <w:t xml:space="preserve">Résultat observé</w:t>
            </w:r>
          </w:p>
        </w:tc>
        <w:tc>
          <w:tcPr/>
          <w:p>
            <w:pPr>
              <w:pStyle w:val="Compact"/>
              <w:jc w:val="left"/>
            </w:pPr>
            <w:r>
              <w:rPr>
                <w:b/>
                <w:bCs/>
              </w:rPr>
              <w:t xml:space="preserve">Preuve</w:t>
            </w:r>
          </w:p>
        </w:tc>
        <w:tc>
          <w:tcPr/>
          <w:p>
            <w:pPr>
              <w:pStyle w:val="Compact"/>
              <w:jc w:val="left"/>
            </w:pPr>
            <w:r>
              <w:rPr>
                <w:b/>
                <w:bCs/>
              </w:rPr>
              <w:t xml:space="preserve">Statut</w:t>
            </w:r>
          </w:p>
        </w:tc>
      </w:tr>
      <w:tr>
        <w:tc>
          <w:tcPr/>
          <w:p>
            <w:pPr>
              <w:pStyle w:val="Compact"/>
              <w:jc w:val="left"/>
            </w:pPr>
            <w:r>
              <w:t xml:space="preserve">Référentiel des modules</w:t>
            </w:r>
          </w:p>
        </w:tc>
        <w:tc>
          <w:tcPr/>
          <w:p>
            <w:pPr>
              <w:pStyle w:val="Compact"/>
              <w:jc w:val="left"/>
            </w:pPr>
            <w:r>
              <w:t xml:space="preserve">Liste des modules et leur statut affichés dans le module Manager.</w:t>
            </w:r>
          </w:p>
        </w:tc>
        <w:tc>
          <w:tcPr/>
          <w:p>
            <w:pPr>
              <w:pStyle w:val="Compact"/>
              <w:jc w:val="left"/>
            </w:pPr>
            <w:r>
              <w:t xml:space="preserve">Figure </w:t>
            </w:r>
            <w:hyperlink w:anchor="fig:ann_modules_permissions">
              <w:r>
                <w:rPr>
                  <w:rStyle w:val="Hyperlink"/>
                </w:rPr>
                <w:t xml:space="preserve">7.1</w:t>
              </w:r>
            </w:hyperlink>
          </w:p>
        </w:tc>
        <w:tc>
          <w:tcPr/>
          <w:p>
            <w:pPr>
              <w:pStyle w:val="Compact"/>
              <w:jc w:val="left"/>
            </w:pPr>
            <w:r>
              <w:t xml:space="preserve">Conforme</w:t>
            </w:r>
          </w:p>
        </w:tc>
      </w:tr>
      <w:tr>
        <w:tc>
          <w:tcPr/>
          <w:p>
            <w:pPr>
              <w:pStyle w:val="Compact"/>
              <w:jc w:val="left"/>
            </w:pPr>
            <w:r>
              <w:t xml:space="preserve">Référentiel des rôles</w:t>
            </w:r>
          </w:p>
        </w:tc>
        <w:tc>
          <w:tcPr/>
          <w:p>
            <w:pPr>
              <w:pStyle w:val="Compact"/>
              <w:jc w:val="left"/>
            </w:pPr>
            <w:r>
              <w:t xml:space="preserve">Rôles disponibles et nombre d’actions autorisées affichés.</w:t>
            </w:r>
          </w:p>
        </w:tc>
        <w:tc>
          <w:tcPr/>
          <w:p>
            <w:pPr>
              <w:pStyle w:val="Compact"/>
              <w:jc w:val="left"/>
            </w:pPr>
            <w:r>
              <w:t xml:space="preserve">Figure </w:t>
            </w:r>
            <w:hyperlink w:anchor="fig:ann_roles_fonctionnalite">
              <w:r>
                <w:rPr>
                  <w:rStyle w:val="Hyperlink"/>
                </w:rPr>
                <w:t xml:space="preserve">7.2</w:t>
              </w:r>
            </w:hyperlink>
          </w:p>
        </w:tc>
        <w:tc>
          <w:tcPr/>
          <w:p>
            <w:pPr>
              <w:pStyle w:val="Compact"/>
              <w:jc w:val="left"/>
            </w:pPr>
            <w:r>
              <w:t xml:space="preserve">Conforme</w:t>
            </w:r>
          </w:p>
        </w:tc>
      </w:tr>
      <w:tr>
        <w:tc>
          <w:tcPr/>
          <w:p>
            <w:pPr>
              <w:pStyle w:val="Compact"/>
              <w:jc w:val="left"/>
            </w:pPr>
            <w:r>
              <w:t xml:space="preserve">Consultation de l’audit</w:t>
            </w:r>
          </w:p>
        </w:tc>
        <w:tc>
          <w:tcPr/>
          <w:p>
            <w:pPr>
              <w:pStyle w:val="Compact"/>
              <w:jc w:val="left"/>
            </w:pPr>
            <w:r>
              <w:t xml:space="preserve">Actions enregistrées consultables avec leur entité et leur statut.</w:t>
            </w:r>
          </w:p>
        </w:tc>
        <w:tc>
          <w:tcPr/>
          <w:p>
            <w:pPr>
              <w:pStyle w:val="Compact"/>
              <w:jc w:val="left"/>
            </w:pPr>
            <w:r>
              <w:t xml:space="preserve">Figure </w:t>
            </w:r>
            <w:hyperlink w:anchor="fig:ann_journal_audit">
              <w:r>
                <w:rPr>
                  <w:rStyle w:val="Hyperlink"/>
                </w:rPr>
                <w:t xml:space="preserve">7.3</w:t>
              </w:r>
            </w:hyperlink>
          </w:p>
        </w:tc>
        <w:tc>
          <w:tcPr/>
          <w:p>
            <w:pPr>
              <w:pStyle w:val="Compact"/>
              <w:jc w:val="left"/>
            </w:pPr>
            <w:r>
              <w:t xml:space="preserve">Conforme</w:t>
            </w:r>
          </w:p>
        </w:tc>
      </w:tr>
    </w:tbl>
    <w:bookmarkEnd w:id="161"/>
    <w:bookmarkStart w:id="166" w:name="module-manager-modules-et-rôles"/>
    <w:p>
      <w:pPr>
        <w:pStyle w:val="Heading2"/>
      </w:pPr>
      <w:r>
        <w:t xml:space="preserve">Module Manager : modules et rôles</w:t>
      </w:r>
    </w:p>
    <w:p>
      <w:pPr>
        <w:pStyle w:val="FirstParagraph"/>
      </w:pPr>
      <w:r>
        <w:t xml:space="preserve">Le module Manager présente le référentiel fonctionnel de la plateforme. Une</w:t>
      </w:r>
      <w:r>
        <w:t xml:space="preserve"> </w:t>
      </w:r>
      <w:r>
        <w:t xml:space="preserve">première capture montre les modules disponibles et leur statut ; la seconde</w:t>
      </w:r>
      <w:r>
        <w:t xml:space="preserve"> </w:t>
      </w:r>
      <w:r>
        <w:t xml:space="preserve">présente les rôles déclarés avec le nombre d’actions autorisées associé à</w:t>
      </w:r>
      <w:r>
        <w:t xml:space="preserve"> </w:t>
      </w:r>
      <w:r>
        <w:t xml:space="preserve">chacun. La vérification détaillée des droits appliqués à chaque fonctionnalité</w:t>
      </w:r>
      <w:r>
        <w:t xml:space="preserve"> </w:t>
      </w:r>
      <w:r>
        <w:t xml:space="preserve">relève d’une recette de contrôle d’accès distincte.</w:t>
      </w:r>
    </w:p>
    <w:bookmarkStart w:id="162" w:name="fig:ann_modules_permissions"/>
    <w:tbl>
      <w:tblPr>
        <w:tblStyle w:val="FigureTable"/>
        <w:tblW w:type="auto" w:w="0"/>
        <w:jc w:val="center"/>
        <w:tblLook w:firstRow="0" w:lastRow="0" w:firstColumn="0" w:lastColumn="0"/>
      </w:tblPr>
      <w:tblGrid/>
    </w:tbl>
    <w:p>
      <w:pPr>
        <w:pStyle w:val="ImageCaption"/>
      </w:pPr>
      <w:r>
        <w:t xml:space="preserve">Référentiel des modules affiché dans le module Manager</w:t>
      </w:r>
    </w:p>
    <w:bookmarkEnd w:id="162"/>
    <w:bookmarkStart w:id="164" w:name="résultat-illustré.-4"/>
    <w:p>
      <w:pPr>
        <w:pStyle w:val="Heading5"/>
      </w:pPr>
      <w:r>
        <w:t xml:space="preserve">Résultat illustré.</w:t>
      </w:r>
    </w:p>
    <w:p>
      <w:pPr>
        <w:pStyle w:val="FirstParagraph"/>
      </w:pPr>
      <w:r>
        <w:t xml:space="preserve">La vue affiche les modules déclarés dans la plateforme, dont les modules</w:t>
      </w:r>
      <w:r>
        <w:t xml:space="preserve"> </w:t>
      </w:r>
      <w:r>
        <w:t xml:space="preserve">Relation Client et SGI, ainsi que leur statut actif.</w:t>
      </w:r>
    </w:p>
    <w:bookmarkStart w:id="163" w:name="fig:ann_roles_fonctionnalite"/>
    <w:tbl>
      <w:tblPr>
        <w:tblStyle w:val="FigureTable"/>
        <w:tblW w:type="auto" w:w="0"/>
        <w:jc w:val="center"/>
        <w:tblLook w:firstRow="0" w:lastRow="0" w:firstColumn="0" w:lastColumn="0"/>
      </w:tblPr>
      <w:tblGrid/>
    </w:tbl>
    <w:p>
      <w:pPr>
        <w:pStyle w:val="ImageCaption"/>
      </w:pPr>
      <w:r>
        <w:t xml:space="preserve">Référentiel des rôles et actions autorisées</w:t>
      </w:r>
    </w:p>
    <w:bookmarkEnd w:id="163"/>
    <w:bookmarkEnd w:id="164"/>
    <w:bookmarkStart w:id="165" w:name="résultat-illustré.-5"/>
    <w:p>
      <w:pPr>
        <w:pStyle w:val="Heading5"/>
      </w:pPr>
      <w:r>
        <w:t xml:space="preserve">Résultat illustré.</w:t>
      </w:r>
    </w:p>
    <w:p>
      <w:pPr>
        <w:pStyle w:val="FirstParagraph"/>
      </w:pPr>
      <w:r>
        <w:t xml:space="preserve">La vue présente les rôles disponibles et le nombre d’actions autorisées pour</w:t>
      </w:r>
      <w:r>
        <w:t xml:space="preserve"> </w:t>
      </w:r>
      <w:r>
        <w:t xml:space="preserve">chacun. Elle montre que les accès sont organisés selon les profils</w:t>
      </w:r>
      <w:r>
        <w:t xml:space="preserve"> </w:t>
      </w:r>
      <w:r>
        <w:t xml:space="preserve">utilisateurs.</w:t>
      </w:r>
    </w:p>
    <w:bookmarkEnd w:id="165"/>
    <w:bookmarkEnd w:id="166"/>
    <w:bookmarkStart w:id="169" w:name="X2aa87cdd8e2c263bfa22bbcb2e957e8dccbbdcd"/>
    <w:p>
      <w:pPr>
        <w:pStyle w:val="Heading2"/>
      </w:pPr>
      <w:r>
        <w:t xml:space="preserve">Back-office d’administration : audit des opérations</w:t>
      </w:r>
    </w:p>
    <w:p>
      <w:pPr>
        <w:pStyle w:val="FirstParagraph"/>
      </w:pPr>
      <w:r>
        <w:t xml:space="preserve">La section Audit du back-office d’administration permet de consulter les</w:t>
      </w:r>
      <w:r>
        <w:t xml:space="preserve"> </w:t>
      </w:r>
      <w:r>
        <w:t xml:space="preserve">actions enregistrées dans la plateforme. Cette vue contribue au</w:t>
      </w:r>
      <w:r>
        <w:t xml:space="preserve"> </w:t>
      </w:r>
      <w:r>
        <w:t xml:space="preserve">suivi des opérations sensibles et à l’analyse d’incidents éventuels.</w:t>
      </w:r>
    </w:p>
    <w:bookmarkStart w:id="167" w:name="fig:ann_journal_audit"/>
    <w:tbl>
      <w:tblPr>
        <w:tblStyle w:val="FigureTable"/>
        <w:tblW w:type="auto" w:w="0"/>
        <w:jc w:val="center"/>
        <w:tblLook w:firstRow="0" w:lastRow="0" w:firstColumn="0" w:lastColumn="0"/>
      </w:tblPr>
      <w:tblGrid/>
    </w:tbl>
    <w:p>
      <w:pPr>
        <w:pStyle w:val="ImageCaption"/>
      </w:pPr>
      <w:r>
        <w:t xml:space="preserve">Consultation des opérations enregistrées dans la section Audit</w:t>
      </w:r>
    </w:p>
    <w:bookmarkEnd w:id="167"/>
    <w:bookmarkStart w:id="168" w:name="résultat-illustré.-6"/>
    <w:p>
      <w:pPr>
        <w:pStyle w:val="Heading5"/>
      </w:pPr>
      <w:r>
        <w:t xml:space="preserve">Résultat illustré.</w:t>
      </w:r>
    </w:p>
    <w:p>
      <w:pPr>
        <w:pStyle w:val="FirstParagraph"/>
      </w:pPr>
      <w:r>
        <w:t xml:space="preserve">La vue affiche des actions de création et de conversion avec statut de succès,</w:t>
      </w:r>
      <w:r>
        <w:t xml:space="preserve"> </w:t>
      </w:r>
      <w:r>
        <w:t xml:space="preserve">ce qui matérialise la consultation des traces associées au scénario prospect.</w:t>
      </w:r>
    </w:p>
    <w:bookmarkEnd w:id="168"/>
    <w:bookmarkEnd w:id="169"/>
    <w:bookmarkEnd w:id="170"/>
    <w:bookmarkStart w:id="182" w:name="X488dc6935863502e8e11f807355ec230d3f5313"/>
    <w:p>
      <w:pPr>
        <w:pStyle w:val="Heading1"/>
      </w:pPr>
      <w:r>
        <w:t xml:space="preserve">Validation du déploiement sur VPS AlmaLinux</w:t>
      </w:r>
    </w:p>
    <w:p>
      <w:pPr>
        <w:pStyle w:val="FirstParagraph"/>
      </w:pPr>
      <w:bookmarkStart w:id="171" w:name="ann:validation-deploiement"/>
      <w:bookmarkEnd w:id="171"/>
    </w:p>
    <w:p>
      <w:pPr>
        <w:pStyle w:val="BodyText"/>
      </w:pPr>
      <w:r>
        <w:t xml:space="preserve">Cette dernière annexe rassemble les preuves visuelles de l’environnement de</w:t>
      </w:r>
      <w:r>
        <w:t xml:space="preserve"> </w:t>
      </w:r>
      <w:r>
        <w:t xml:space="preserve">validation présenté au chapitre 3. Elle documente les ensembles Docker</w:t>
      </w:r>
      <w:r>
        <w:t xml:space="preserve"> </w:t>
      </w:r>
      <w:r>
        <w:t xml:space="preserve">déployés sur le VPS AlmaLinux, l’enregistrement des services et une exécution</w:t>
      </w:r>
      <w:r>
        <w:t xml:space="preserve"> </w:t>
      </w:r>
      <w:r>
        <w:t xml:space="preserve">réussie de la chaîne de redéploiement utilisée pour la recette.</w:t>
      </w:r>
    </w:p>
    <w:p>
      <w:pPr>
        <w:pStyle w:val="BodyText"/>
      </w:pPr>
      <w:r>
        <w:t xml:space="preserve">Trois éléments sont présentés :</w:t>
      </w:r>
    </w:p>
    <w:p>
      <w:pPr>
        <w:numPr>
          <w:ilvl w:val="0"/>
          <w:numId w:val="1013"/>
        </w:numPr>
      </w:pPr>
      <w:r>
        <w:t xml:space="preserve">les stacks Docker Compose visibles dans l’interface Portainer</w:t>
      </w:r>
      <w:r>
        <w:t xml:space="preserve"> </w:t>
      </w:r>
      <w:r>
        <w:t xml:space="preserve">(figure </w:t>
      </w:r>
      <w:hyperlink w:anchor="fig:ann_portainer">
        <w:r>
          <w:rPr>
            <w:rStyle w:val="Hyperlink"/>
          </w:rPr>
          <w:t xml:space="preserve">8.1</w:t>
        </w:r>
      </w:hyperlink>
      <w:r>
        <w:t xml:space="preserve">) ;</w:t>
      </w:r>
    </w:p>
    <w:p>
      <w:pPr>
        <w:numPr>
          <w:ilvl w:val="0"/>
          <w:numId w:val="1013"/>
        </w:numPr>
      </w:pPr>
      <w:r>
        <w:t xml:space="preserve">l’enregistrement des microservices dans le registre Eureka</w:t>
      </w:r>
      <w:r>
        <w:t xml:space="preserve"> </w:t>
      </w:r>
      <w:r>
        <w:t xml:space="preserve">(figure </w:t>
      </w:r>
      <w:hyperlink w:anchor="fig:ann_eureka">
        <w:r>
          <w:rPr>
            <w:rStyle w:val="Hyperlink"/>
          </w:rPr>
          <w:t xml:space="preserve">8.2</w:t>
        </w:r>
      </w:hyperlink>
      <w:r>
        <w:t xml:space="preserve">) ;</w:t>
      </w:r>
    </w:p>
    <w:p>
      <w:pPr>
        <w:numPr>
          <w:ilvl w:val="0"/>
          <w:numId w:val="1013"/>
        </w:numPr>
      </w:pPr>
      <w:r>
        <w:t xml:space="preserve">l’historique de redéploiement attestant du processus itératif</w:t>
      </w:r>
      <w:r>
        <w:t xml:space="preserve"> </w:t>
      </w:r>
      <w:r>
        <w:t xml:space="preserve">de mise à jour (figure </w:t>
      </w:r>
      <w:hyperlink w:anchor="fig:ann_redeploiement">
        <w:r>
          <w:rPr>
            <w:rStyle w:val="Hyperlink"/>
          </w:rPr>
          <w:t xml:space="preserve">8.3</w:t>
        </w:r>
      </w:hyperlink>
      <w:r>
        <w:t xml:space="preserve">).</w:t>
      </w:r>
    </w:p>
    <w:p>
      <w:pPr>
        <w:pStyle w:val="FirstParagraph"/>
      </w:pPr>
      <w:r>
        <w:t xml:space="preserve">Le tableau </w:t>
      </w:r>
      <w:hyperlink w:anchor="tab:preuves_deploiement">
        <w:r>
          <w:rPr>
            <w:rStyle w:val="Hyperlink"/>
          </w:rPr>
          <w:t xml:space="preserve">8.1</w:t>
        </w:r>
      </w:hyperlink>
      <w:r>
        <w:t xml:space="preserve"> </w:t>
      </w:r>
      <w:r>
        <w:t xml:space="preserve">synthétise les contrôles observables</w:t>
      </w:r>
      <w:r>
        <w:t xml:space="preserve"> </w:t>
      </w:r>
      <w:r>
        <w:t xml:space="preserve">dans les captures issues de l’environnement de validation.</w:t>
      </w:r>
    </w:p>
    <w:bookmarkStart w:id="172" w:name="tab:preuves_deploiement"/>
    <w:p>
      <w:pPr>
        <w:pStyle w:val="TableCaption"/>
      </w:pPr>
      <w:r>
        <w:t xml:space="preserve">Preuves du déploiement de validation</w:t>
      </w:r>
    </w:p>
    <w:tbl>
      <w:tblPr>
        <w:tblStyle w:val="Table"/>
        <w:tblW w:type="auto" w:w="0"/>
        <w:tblLook w:firstRow="1" w:lastRow="0" w:firstColumn="0" w:lastColumn="0" w:noHBand="0" w:noVBand="0" w:val="0020"/>
        <w:tblCaption w:val="Preuves du déploiement de validation"/>
      </w:tblPr>
      <w:tblGrid>
        <w:gridCol w:w="1980"/>
        <w:gridCol w:w="1980"/>
        <w:gridCol w:w="1980"/>
        <w:gridCol w:w="1980"/>
      </w:tblGrid>
      <w:tr>
        <w:trPr>
          <w:tblHeader w:val="on"/>
        </w:trPr>
        <w:tc>
          <w:tcPr/>
          <w:p>
            <w:pPr>
              <w:pStyle w:val="Compact"/>
              <w:jc w:val="left"/>
            </w:pPr>
            <w:r>
              <w:rPr>
                <w:b/>
                <w:bCs/>
              </w:rPr>
              <w:t xml:space="preserve">Vérification</w:t>
            </w:r>
          </w:p>
        </w:tc>
        <w:tc>
          <w:tcPr/>
          <w:p>
            <w:pPr>
              <w:pStyle w:val="Compact"/>
              <w:jc w:val="left"/>
            </w:pPr>
            <w:r>
              <w:rPr>
                <w:b/>
                <w:bCs/>
              </w:rPr>
              <w:t xml:space="preserve">Résultat observé</w:t>
            </w:r>
          </w:p>
        </w:tc>
        <w:tc>
          <w:tcPr/>
          <w:p>
            <w:pPr>
              <w:pStyle w:val="Compact"/>
              <w:jc w:val="left"/>
            </w:pPr>
            <w:r>
              <w:rPr>
                <w:b/>
                <w:bCs/>
              </w:rPr>
              <w:t xml:space="preserve">Preuve</w:t>
            </w:r>
          </w:p>
        </w:tc>
        <w:tc>
          <w:tcPr/>
          <w:p>
            <w:pPr>
              <w:pStyle w:val="Compact"/>
              <w:jc w:val="left"/>
            </w:pPr>
            <w:r>
              <w:rPr>
                <w:b/>
                <w:bCs/>
              </w:rPr>
              <w:t xml:space="preserve">Statut</w:t>
            </w:r>
          </w:p>
        </w:tc>
      </w:tr>
      <w:tr>
        <w:tc>
          <w:tcPr/>
          <w:p>
            <w:pPr>
              <w:pStyle w:val="Compact"/>
              <w:jc w:val="left"/>
            </w:pPr>
            <w:r>
              <w:t xml:space="preserve">Stacks Compose</w:t>
            </w:r>
          </w:p>
        </w:tc>
        <w:tc>
          <w:tcPr/>
          <w:p>
            <w:pPr>
              <w:pStyle w:val="Compact"/>
              <w:jc w:val="left"/>
            </w:pPr>
            <w:r>
              <w:t xml:space="preserve">Stacks</w:t>
            </w:r>
            <w:r>
              <w:t xml:space="preserve"> </w:t>
            </w:r>
            <w:r>
              <w:rPr>
                <w:rStyle w:val="VerbatimChar"/>
              </w:rPr>
              <w:t xml:space="preserve">i-sib-infra</w:t>
            </w:r>
            <w:r>
              <w:t xml:space="preserve">,</w:t>
            </w:r>
            <w:r>
              <w:t xml:space="preserve"> </w:t>
            </w:r>
            <w:r>
              <w:rPr>
                <w:rStyle w:val="VerbatimChar"/>
              </w:rPr>
              <w:t xml:space="preserve">i-sib-core</w:t>
            </w:r>
            <w:r>
              <w:t xml:space="preserve">,</w:t>
            </w:r>
            <w:r>
              <w:t xml:space="preserve"> </w:t>
            </w:r>
            <w:r>
              <w:rPr>
                <w:rStyle w:val="VerbatimChar"/>
              </w:rPr>
              <w:t xml:space="preserve">i-sib-module</w:t>
            </w:r>
            <w:r>
              <w:t xml:space="preserve"> </w:t>
            </w:r>
            <w:r>
              <w:t xml:space="preserve">et</w:t>
            </w:r>
            <w:r>
              <w:t xml:space="preserve"> </w:t>
            </w:r>
            <w:r>
              <w:rPr>
                <w:rStyle w:val="VerbatimChar"/>
              </w:rPr>
              <w:t xml:space="preserve">i-sib-office</w:t>
            </w:r>
            <w:r>
              <w:t xml:space="preserve"> </w:t>
            </w:r>
            <w:r>
              <w:t xml:space="preserve">visibles dans Portainer.</w:t>
            </w:r>
          </w:p>
        </w:tc>
        <w:tc>
          <w:tcPr/>
          <w:p>
            <w:pPr>
              <w:pStyle w:val="Compact"/>
              <w:jc w:val="left"/>
            </w:pPr>
            <w:r>
              <w:t xml:space="preserve">Figure </w:t>
            </w:r>
            <w:hyperlink w:anchor="fig:ann_portainer">
              <w:r>
                <w:rPr>
                  <w:rStyle w:val="Hyperlink"/>
                </w:rPr>
                <w:t xml:space="preserve">8.1</w:t>
              </w:r>
            </w:hyperlink>
          </w:p>
        </w:tc>
        <w:tc>
          <w:tcPr/>
          <w:p>
            <w:pPr>
              <w:pStyle w:val="Compact"/>
              <w:jc w:val="left"/>
            </w:pPr>
            <w:r>
              <w:t xml:space="preserve">Conforme</w:t>
            </w:r>
          </w:p>
        </w:tc>
      </w:tr>
      <w:tr>
        <w:tc>
          <w:tcPr/>
          <w:p>
            <w:pPr>
              <w:pStyle w:val="Compact"/>
              <w:jc w:val="left"/>
            </w:pPr>
            <w:r>
              <w:t xml:space="preserve">Découverte des services</w:t>
            </w:r>
          </w:p>
        </w:tc>
        <w:tc>
          <w:tcPr/>
          <w:p>
            <w:pPr>
              <w:pStyle w:val="Compact"/>
              <w:jc w:val="left"/>
            </w:pPr>
            <w:r>
              <w:t xml:space="preserve">Instances applicatives enregistrées avec statut</w:t>
            </w:r>
            <w:r>
              <w:t xml:space="preserve"> </w:t>
            </w:r>
            <w:r>
              <w:rPr>
                <w:rStyle w:val="VerbatimChar"/>
              </w:rPr>
              <w:t xml:space="preserve">UP</w:t>
            </w:r>
            <w:r>
              <w:t xml:space="preserve"> </w:t>
            </w:r>
            <w:r>
              <w:t xml:space="preserve">dans Eureka.</w:t>
            </w:r>
          </w:p>
        </w:tc>
        <w:tc>
          <w:tcPr/>
          <w:p>
            <w:pPr>
              <w:pStyle w:val="Compact"/>
              <w:jc w:val="left"/>
            </w:pPr>
            <w:r>
              <w:t xml:space="preserve">Figure </w:t>
            </w:r>
            <w:hyperlink w:anchor="fig:ann_eureka">
              <w:r>
                <w:rPr>
                  <w:rStyle w:val="Hyperlink"/>
                </w:rPr>
                <w:t xml:space="preserve">8.2</w:t>
              </w:r>
            </w:hyperlink>
          </w:p>
        </w:tc>
        <w:tc>
          <w:tcPr/>
          <w:p>
            <w:pPr>
              <w:pStyle w:val="Compact"/>
              <w:jc w:val="left"/>
            </w:pPr>
            <w:r>
              <w:t xml:space="preserve">Conforme</w:t>
            </w:r>
          </w:p>
        </w:tc>
      </w:tr>
      <w:tr>
        <w:tc>
          <w:tcPr/>
          <w:p>
            <w:pPr>
              <w:pStyle w:val="Compact"/>
              <w:jc w:val="left"/>
            </w:pPr>
            <w:r>
              <w:t xml:space="preserve">Redéploiement ciblé</w:t>
            </w:r>
          </w:p>
        </w:tc>
        <w:tc>
          <w:tcPr/>
          <w:p>
            <w:pPr>
              <w:pStyle w:val="Compact"/>
              <w:jc w:val="left"/>
            </w:pPr>
            <w:r>
              <w:t xml:space="preserve">Exécution GitHub Actions réussie pour les composants concernés par l’évolution.</w:t>
            </w:r>
          </w:p>
        </w:tc>
        <w:tc>
          <w:tcPr/>
          <w:p>
            <w:pPr>
              <w:pStyle w:val="Compact"/>
              <w:jc w:val="left"/>
            </w:pPr>
            <w:r>
              <w:t xml:space="preserve">Figure </w:t>
            </w:r>
            <w:hyperlink w:anchor="fig:ann_redeploiement">
              <w:r>
                <w:rPr>
                  <w:rStyle w:val="Hyperlink"/>
                </w:rPr>
                <w:t xml:space="preserve">8.3</w:t>
              </w:r>
            </w:hyperlink>
          </w:p>
        </w:tc>
        <w:tc>
          <w:tcPr/>
          <w:p>
            <w:pPr>
              <w:pStyle w:val="Compact"/>
              <w:jc w:val="left"/>
            </w:pPr>
            <w:r>
              <w:t xml:space="preserve">Conforme</w:t>
            </w:r>
          </w:p>
        </w:tc>
      </w:tr>
    </w:tbl>
    <w:bookmarkEnd w:id="172"/>
    <w:bookmarkStart w:id="175" w:name="stacks-compose-déployées"/>
    <w:p>
      <w:pPr>
        <w:pStyle w:val="Heading2"/>
      </w:pPr>
      <w:r>
        <w:t xml:space="preserve">Stacks Compose déployées</w:t>
      </w:r>
    </w:p>
    <w:p>
      <w:pPr>
        <w:pStyle w:val="FirstParagraph"/>
      </w:pPr>
      <w:r>
        <w:t xml:space="preserve">La capture Portainer présente les quatre ensembles applicatifs organisés sous</w:t>
      </w:r>
      <w:r>
        <w:t xml:space="preserve"> </w:t>
      </w:r>
      <w:r>
        <w:t xml:space="preserve">forme de stacks Compose :</w:t>
      </w:r>
      <w:r>
        <w:t xml:space="preserve"> </w:t>
      </w:r>
      <w:r>
        <w:rPr>
          <w:rStyle w:val="VerbatimChar"/>
        </w:rPr>
        <w:t xml:space="preserve">infra</w:t>
      </w:r>
      <w:r>
        <w:t xml:space="preserve">,</w:t>
      </w:r>
      <w:r>
        <w:t xml:space="preserve"> </w:t>
      </w:r>
      <w:r>
        <w:rPr>
          <w:rStyle w:val="VerbatimChar"/>
        </w:rPr>
        <w:t xml:space="preserve">core</w:t>
      </w:r>
      <w:r>
        <w:t xml:space="preserve">,</w:t>
      </w:r>
      <w:r>
        <w:t xml:space="preserve"> </w:t>
      </w:r>
      <w:r>
        <w:rPr>
          <w:rStyle w:val="VerbatimChar"/>
        </w:rPr>
        <w:t xml:space="preserve">module</w:t>
      </w:r>
      <w:r>
        <w:t xml:space="preserve"> </w:t>
      </w:r>
      <w:r>
        <w:t xml:space="preserve">et</w:t>
      </w:r>
      <w:r>
        <w:t xml:space="preserve"> </w:t>
      </w:r>
      <w:r>
        <w:rPr>
          <w:rStyle w:val="VerbatimChar"/>
        </w:rPr>
        <w:t xml:space="preserve">office</w:t>
      </w:r>
      <w:r>
        <w:t xml:space="preserve">. Elle documente leur présence sur le serveur de validation.</w:t>
      </w:r>
    </w:p>
    <w:bookmarkStart w:id="173" w:name="fig:ann_portainer"/>
    <w:tbl>
      <w:tblPr>
        <w:tblStyle w:val="FigureTable"/>
        <w:tblW w:type="auto" w:w="0"/>
        <w:jc w:val="center"/>
        <w:tblLook w:firstRow="0" w:lastRow="0" w:firstColumn="0" w:lastColumn="0"/>
      </w:tblPr>
      <w:tblGrid/>
    </w:tbl>
    <w:p>
      <w:pPr>
        <w:pStyle w:val="ImageCaption"/>
      </w:pPr>
      <w:r>
        <w:t xml:space="preserve">Stacks Compose déployées sur le VPS AlmaLinux</w:t>
      </w:r>
    </w:p>
    <w:bookmarkEnd w:id="173"/>
    <w:bookmarkStart w:id="174" w:name="résultat-illustré.-7"/>
    <w:p>
      <w:pPr>
        <w:pStyle w:val="Heading5"/>
      </w:pPr>
      <w:r>
        <w:t xml:space="preserve">Résultat illustré.</w:t>
      </w:r>
    </w:p>
    <w:p>
      <w:pPr>
        <w:pStyle w:val="FirstParagraph"/>
      </w:pPr>
      <w:r>
        <w:t xml:space="preserve">Les quatre stacks applicatives d’I-SIB sont visibles dans Portainer, ce qui</w:t>
      </w:r>
      <w:r>
        <w:t xml:space="preserve"> </w:t>
      </w:r>
      <w:r>
        <w:t xml:space="preserve">documente l’organisation du déploiement utilisée pour la validation.</w:t>
      </w:r>
    </w:p>
    <w:bookmarkEnd w:id="174"/>
    <w:bookmarkEnd w:id="175"/>
    <w:bookmarkStart w:id="178" w:name="enregistrement-des-services"/>
    <w:p>
      <w:pPr>
        <w:pStyle w:val="Heading2"/>
      </w:pPr>
      <w:r>
        <w:t xml:space="preserve">Enregistrement des services</w:t>
      </w:r>
    </w:p>
    <w:p>
      <w:pPr>
        <w:pStyle w:val="FirstParagraph"/>
      </w:pPr>
      <w:r>
        <w:t xml:space="preserve">Le tableau Eureka affiche les microservices enregistrés auprès du registre de</w:t>
      </w:r>
      <w:r>
        <w:t xml:space="preserve"> </w:t>
      </w:r>
      <w:r>
        <w:t xml:space="preserve">services au moment de la capture.</w:t>
      </w:r>
    </w:p>
    <w:bookmarkStart w:id="176" w:name="fig:ann_eureka"/>
    <w:tbl>
      <w:tblPr>
        <w:tblStyle w:val="FigureTable"/>
        <w:tblW w:type="auto" w:w="0"/>
        <w:jc w:val="center"/>
        <w:tblLook w:firstRow="0" w:lastRow="0" w:firstColumn="0" w:lastColumn="0"/>
      </w:tblPr>
      <w:tblGrid/>
    </w:tbl>
    <w:p>
      <w:pPr>
        <w:pStyle w:val="ImageCaption"/>
      </w:pPr>
      <w:r>
        <w:t xml:space="preserve">Services enregistrés dans le registre Eureka</w:t>
      </w:r>
    </w:p>
    <w:bookmarkEnd w:id="176"/>
    <w:bookmarkStart w:id="177" w:name="résultat-illustré.-8"/>
    <w:p>
      <w:pPr>
        <w:pStyle w:val="Heading5"/>
      </w:pPr>
      <w:r>
        <w:t xml:space="preserve">Résultat illustré.</w:t>
      </w:r>
    </w:p>
    <w:p>
      <w:pPr>
        <w:pStyle w:val="FirstParagraph"/>
      </w:pPr>
      <w:r>
        <w:t xml:space="preserve">La vue affiche les instances de services avec le statut</w:t>
      </w:r>
      <w:r>
        <w:t xml:space="preserve"> </w:t>
      </w:r>
      <w:r>
        <w:rPr>
          <w:rStyle w:val="VerbatimChar"/>
        </w:rPr>
        <w:t xml:space="preserve">UP</w:t>
      </w:r>
      <w:r>
        <w:t xml:space="preserve">, dont la</w:t>
      </w:r>
      <w:r>
        <w:t xml:space="preserve"> </w:t>
      </w:r>
      <w:r>
        <w:t xml:space="preserve">passerelle et les services des domaines étudiés.</w:t>
      </w:r>
    </w:p>
    <w:bookmarkEnd w:id="177"/>
    <w:bookmarkEnd w:id="178"/>
    <w:bookmarkStart w:id="181" w:name="redéploiement-progressif"/>
    <w:p>
      <w:pPr>
        <w:pStyle w:val="Heading2"/>
      </w:pPr>
      <w:r>
        <w:t xml:space="preserve">Redéploiement progressif</w:t>
      </w:r>
    </w:p>
    <w:p>
      <w:pPr>
        <w:pStyle w:val="FirstParagraph"/>
      </w:pPr>
      <w:r>
        <w:t xml:space="preserve">L’historique de redéploiement présente une exécution aboutie de la chaîne de</w:t>
      </w:r>
      <w:r>
        <w:t xml:space="preserve"> </w:t>
      </w:r>
      <w:r>
        <w:t xml:space="preserve">livraison, déclenchée après évolution de composants applicatifs.</w:t>
      </w:r>
    </w:p>
    <w:bookmarkStart w:id="179" w:name="fig:ann_redeploiement"/>
    <w:tbl>
      <w:tblPr>
        <w:tblStyle w:val="FigureTable"/>
        <w:tblW w:type="auto" w:w="0"/>
        <w:jc w:val="center"/>
        <w:tblLook w:firstRow="0" w:lastRow="0" w:firstColumn="0" w:lastColumn="0"/>
      </w:tblPr>
      <w:tblGrid/>
    </w:tbl>
    <w:p>
      <w:pPr>
        <w:pStyle w:val="ImageCaption"/>
      </w:pPr>
      <w:r>
        <w:t xml:space="preserve">Exécution réussie d’un redéploiement ciblé en environnement de validation</w:t>
      </w:r>
    </w:p>
    <w:bookmarkEnd w:id="179"/>
    <w:bookmarkStart w:id="180" w:name="résultat-illustré.-9"/>
    <w:p>
      <w:pPr>
        <w:pStyle w:val="Heading5"/>
      </w:pPr>
      <w:r>
        <w:t xml:space="preserve">Résultat illustré.</w:t>
      </w:r>
    </w:p>
    <w:p>
      <w:pPr>
        <w:pStyle w:val="FirstParagraph"/>
      </w:pPr>
      <w:r>
        <w:t xml:space="preserve">Le workflow apparaît avec le statut</w:t>
      </w:r>
      <w:r>
        <w:t xml:space="preserve"> </w:t>
      </w:r>
      <w:r>
        <w:rPr>
          <w:i/>
          <w:iCs/>
        </w:rPr>
        <w:t xml:space="preserve">Success</w:t>
      </w:r>
      <w:r>
        <w:t xml:space="preserve"> </w:t>
      </w:r>
      <w:r>
        <w:t xml:space="preserve">et les jobs de</w:t>
      </w:r>
      <w:r>
        <w:t xml:space="preserve"> </w:t>
      </w:r>
      <w:r>
        <w:t xml:space="preserve">déploiement exécutés pour les composants ciblés par la mise à jour.</w:t>
      </w:r>
    </w:p>
    <w:p>
      <w:pPr>
        <w:pStyle w:val="BodyText"/>
      </w:pPr>
      <w:r>
        <w:rPr>
          <w:b/>
          <w:bCs/>
        </w:rPr>
        <w:t xml:space="preserve">Conception d’un système d’information bancaire intelligent :</w:t>
      </w:r>
      <w:r>
        <w:br/>
      </w:r>
      <w:r>
        <w:rPr>
          <w:b/>
          <w:bCs/>
        </w:rPr>
        <w:t xml:space="preserve">cas des modules Relation Client et SGI</w:t>
      </w:r>
      <w:r>
        <w:br/>
      </w:r>
    </w:p>
    <w:p>
      <w:pPr>
        <w:pStyle w:val="BodyText"/>
      </w:pPr>
      <w:r>
        <w:rPr>
          <w:b/>
          <w:bCs/>
        </w:rPr>
        <w:t xml:space="preserve">Résumé</w:t>
      </w:r>
      <w:r>
        <w:br/>
      </w:r>
      <w:r>
        <w:t xml:space="preserve">Ce mémoire présente la conception et la réalisation de deux modules de la</w:t>
      </w:r>
      <w:r>
        <w:t xml:space="preserve"> </w:t>
      </w:r>
      <w:r>
        <w:t xml:space="preserve">plateforme I-SIB : Relation Client et SGI (Société de Gestion et</w:t>
      </w:r>
      <w:r>
        <w:t xml:space="preserve"> </w:t>
      </w:r>
      <w:r>
        <w:t xml:space="preserve">d’Intermédiation). Le travail répond au besoin de rapprocher le suivi client</w:t>
      </w:r>
      <w:r>
        <w:t xml:space="preserve"> </w:t>
      </w:r>
      <w:r>
        <w:t xml:space="preserve">et les services d’investissement dans un environnement bancaire modulaire. La</w:t>
      </w:r>
      <w:r>
        <w:t xml:space="preserve"> </w:t>
      </w:r>
      <w:r>
        <w:t xml:space="preserve">démarche suivie combine analyse fonctionnelle, conception par microservices,</w:t>
      </w:r>
      <w:r>
        <w:t xml:space="preserve"> </w:t>
      </w:r>
      <w:r>
        <w:t xml:space="preserve">développement d’interfaces et validation sur un VPS AlmaLinux. L’étude</w:t>
      </w:r>
      <w:r>
        <w:t xml:space="preserve"> </w:t>
      </w:r>
      <w:r>
        <w:t xml:space="preserve">détaillée porte sur la gestion des prospects et le passage d’ordres. Les</w:t>
      </w:r>
      <w:r>
        <w:t xml:space="preserve"> </w:t>
      </w:r>
      <w:r>
        <w:t xml:space="preserve">résultats montrent des parcours opérationnels dans l’environnement de</w:t>
      </w:r>
      <w:r>
        <w:t xml:space="preserve"> </w:t>
      </w:r>
      <w:r>
        <w:t xml:space="preserve">validation, avec des limites identifiées concernant les données BRVM simulées,</w:t>
      </w:r>
      <w:r>
        <w:t xml:space="preserve"> </w:t>
      </w:r>
      <w:r>
        <w:t xml:space="preserve">l’évaluation des fonctions d’intelligence artificielle et la préparation de la</w:t>
      </w:r>
      <w:r>
        <w:t xml:space="preserve"> </w:t>
      </w:r>
      <w:r>
        <w:t xml:space="preserve">production.</w:t>
      </w:r>
    </w:p>
    <w:p>
      <w:pPr>
        <w:pStyle w:val="BodyText"/>
      </w:pPr>
      <w:r>
        <w:rPr>
          <w:b/>
          <w:bCs/>
        </w:rPr>
        <w:t xml:space="preserve">Mots-clés :</w:t>
      </w:r>
      <w:r>
        <w:t xml:space="preserve"> </w:t>
      </w:r>
      <w:r>
        <w:t xml:space="preserve">système d’information bancaire ; Relation Client ;</w:t>
      </w:r>
      <w:r>
        <w:t xml:space="preserve"> </w:t>
      </w:r>
      <w:r>
        <w:t xml:space="preserve">SGI ; microservices ; intelligence artificielle ; BRVM ; I-SIB.</w:t>
      </w:r>
    </w:p>
    <w:p>
      <w:pPr>
        <w:pStyle w:val="BodyText"/>
      </w:pPr>
      <w:r>
        <w:rPr>
          <w:b/>
          <w:bCs/>
        </w:rPr>
        <w:t xml:space="preserve">Abstract</w:t>
      </w:r>
      <w:r>
        <w:br/>
      </w:r>
      <w:r>
        <w:t xml:space="preserve">This dissertation presents the design and implementation of two I-SIB platform</w:t>
      </w:r>
      <w:r>
        <w:t xml:space="preserve"> </w:t>
      </w:r>
      <w:r>
        <w:t xml:space="preserve">modules: Customer Relationship and SGI (Securities Management and</w:t>
      </w:r>
      <w:r>
        <w:t xml:space="preserve"> </w:t>
      </w:r>
      <w:r>
        <w:t xml:space="preserve">Intermediation). The work addresses the need to bring customer monitoring and</w:t>
      </w:r>
      <w:r>
        <w:t xml:space="preserve"> </w:t>
      </w:r>
      <w:r>
        <w:t xml:space="preserve">investment services together within a modular banking environment. The approach</w:t>
      </w:r>
      <w:r>
        <w:t xml:space="preserve"> </w:t>
      </w:r>
      <w:r>
        <w:t xml:space="preserve">combines functional analysis, microservices-based design, interface</w:t>
      </w:r>
      <w:r>
        <w:t xml:space="preserve"> </w:t>
      </w:r>
      <w:r>
        <w:t xml:space="preserve">implementation and validation on an AlmaLinux VPS. The detailed study focuses</w:t>
      </w:r>
      <w:r>
        <w:t xml:space="preserve"> </w:t>
      </w:r>
      <w:r>
        <w:t xml:space="preserve">on prospect management and order placement. The implemented workflows operate</w:t>
      </w:r>
      <w:r>
        <w:t xml:space="preserve"> </w:t>
      </w:r>
      <w:r>
        <w:t xml:space="preserve">in the validation environment, while the use of simulated BRVM data, the</w:t>
      </w:r>
      <w:r>
        <w:t xml:space="preserve"> </w:t>
      </w:r>
      <w:r>
        <w:t xml:space="preserve">evaluation of artificial intelligence features and production readiness remain</w:t>
      </w:r>
      <w:r>
        <w:t xml:space="preserve"> </w:t>
      </w:r>
      <w:r>
        <w:t xml:space="preserve">areas for further consolidation.</w:t>
      </w:r>
    </w:p>
    <w:p>
      <w:pPr>
        <w:pStyle w:val="BodyText"/>
      </w:pPr>
      <w:r>
        <w:rPr>
          <w:b/>
          <w:bCs/>
        </w:rPr>
        <w:t xml:space="preserve">Keywords:</w:t>
      </w:r>
      <w:r>
        <w:t xml:space="preserve"> </w:t>
      </w:r>
      <w:r>
        <w:t xml:space="preserve">banking information system; customer relationship;</w:t>
      </w:r>
      <w:r>
        <w:t xml:space="preserve"> </w:t>
      </w:r>
      <w:r>
        <w:t xml:space="preserve">SGI; microservices; artificial intelligence; BRVM; I-SIB.</w:t>
      </w:r>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jpg" /><Relationship Type="http://schemas.openxmlformats.org/officeDocument/2006/relationships/image" Id="rId12" Target="media/rId12.png" /><Relationship Type="http://schemas.openxmlformats.org/officeDocument/2006/relationships/hyperlink" Id="rId122" Target="https://docs.docker.com/" TargetMode="External" /><Relationship Type="http://schemas.openxmlformats.org/officeDocument/2006/relationships/hyperlink" Id="rId123" Target="https://docs.docker.com/compose/" TargetMode="External" /><Relationship Type="http://schemas.openxmlformats.org/officeDocument/2006/relationships/hyperlink" Id="rId112" Target="https://docs.spring.io/spring-boot/" TargetMode="External" /><Relationship Type="http://schemas.openxmlformats.org/officeDocument/2006/relationships/hyperlink" Id="rId113" Target="https://docs.spring.io/spring-cloud-gateway/reference/" TargetMode="External" /><Relationship Type="http://schemas.openxmlformats.org/officeDocument/2006/relationships/hyperlink" Id="rId114" Target="https://docs.spring.io/spring-cloud-netflix/reference/" TargetMode="External" /><Relationship Type="http://schemas.openxmlformats.org/officeDocument/2006/relationships/hyperlink" Id="rId106" Target="https://doi.org/10.1146/annurev-financial-100719-120854" TargetMode="External" /><Relationship Type="http://schemas.openxmlformats.org/officeDocument/2006/relationships/hyperlink" Id="rId107" Target="https://doi.org/10.1509/jmkg.2005.69.4.167" TargetMode="External" /><Relationship Type="http://schemas.openxmlformats.org/officeDocument/2006/relationships/hyperlink" Id="rId108" Target="https://esp.sn/" TargetMode="External" /><Relationship Type="http://schemas.openxmlformats.org/officeDocument/2006/relationships/hyperlink" Id="rId109" Target="https://innov4africa.com/" TargetMode="External" /><Relationship Type="http://schemas.openxmlformats.org/officeDocument/2006/relationships/hyperlink" Id="rId100" Target="https://iso25000.com/index.php/en/iso-25000-standards/iso-25010" TargetMode="External" /><Relationship Type="http://schemas.openxmlformats.org/officeDocument/2006/relationships/hyperlink" Id="rId99" Target="https://martinfowler.com/articles/microservices.html" TargetMode="External" /><Relationship Type="http://schemas.openxmlformats.org/officeDocument/2006/relationships/hyperlink" Id="rId119" Target="https://min.io/docs/minio/linux/index.html" TargetMode="External" /><Relationship Type="http://schemas.openxmlformats.org/officeDocument/2006/relationships/hyperlink" Id="rId110" Target="https://nextjs.org/docs" TargetMode="External" /><Relationship Type="http://schemas.openxmlformats.org/officeDocument/2006/relationships/hyperlink" Id="rId101" Target="https://owasp.org/www-project-application-security-verification-standard/" TargetMode="External" /><Relationship Type="http://schemas.openxmlformats.org/officeDocument/2006/relationships/hyperlink" Id="rId120" Target="https://rasa.com/docs/" TargetMode="External" /><Relationship Type="http://schemas.openxmlformats.org/officeDocument/2006/relationships/hyperlink" Id="rId117" Target="https://redis.io/docs/" TargetMode="External" /><Relationship Type="http://schemas.openxmlformats.org/officeDocument/2006/relationships/hyperlink" Id="rId104" Target="https://www.bceao.int/fr/content/fintech-et-digitalisation-des-services-financiers-dans-luemoa" TargetMode="External" /><Relationship Type="http://schemas.openxmlformats.org/officeDocument/2006/relationships/hyperlink" Id="rId103" Target="https://www.brvm.org/fr/marche-des-actions" TargetMode="External" /><Relationship Type="http://schemas.openxmlformats.org/officeDocument/2006/relationships/hyperlink" Id="rId105" Target="https://www.brvm.org/sites/default/files/20230801_-_instruction_ndeg065-crepmf-2021_-_capital_social_minimum_requis_et_aux_normes_prudentielles_des_sgi_agreees_sur_le_mfr_de_lumoa_0.pdf" TargetMode="External" /><Relationship Type="http://schemas.openxmlformats.org/officeDocument/2006/relationships/hyperlink" Id="rId102" Target="https://www.fatf-gafi.org/en/publications/Financialinclusionandnpoissues/Digital-identity-guidance.html" TargetMode="External" /><Relationship Type="http://schemas.openxmlformats.org/officeDocument/2006/relationships/hyperlink" Id="rId115" Target="https://www.keycloak.org/documentation" TargetMode="External" /><Relationship Type="http://schemas.openxmlformats.org/officeDocument/2006/relationships/hyperlink" Id="rId116" Target="https://www.postgresql.org/docs/" TargetMode="External" /><Relationship Type="http://schemas.openxmlformats.org/officeDocument/2006/relationships/hyperlink" Id="rId118" Target="https://www.rabbitmq.com/docs" TargetMode="External" /><Relationship Type="http://schemas.openxmlformats.org/officeDocument/2006/relationships/hyperlink" Id="rId111" Target="https://www.typescriptlang.org/docs/handbook/" TargetMode="External" /><Relationship Type="http://schemas.openxmlformats.org/officeDocument/2006/relationships/hyperlink" Id="rId121" Target="https://zipkin.io/pages/documentation.html" TargetMode="External" /></Relationships>
</file>

<file path=word/_rels/footnotes.xml.rels><?xml version="1.0" encoding="UTF-8"?><Relationships xmlns="http://schemas.openxmlformats.org/package/2006/relationships"><Relationship Type="http://schemas.openxmlformats.org/officeDocument/2006/relationships/hyperlink" Id="rId122" Target="https://docs.docker.com/" TargetMode="External" /><Relationship Type="http://schemas.openxmlformats.org/officeDocument/2006/relationships/hyperlink" Id="rId123" Target="https://docs.docker.com/compose/" TargetMode="External" /><Relationship Type="http://schemas.openxmlformats.org/officeDocument/2006/relationships/hyperlink" Id="rId112" Target="https://docs.spring.io/spring-boot/" TargetMode="External" /><Relationship Type="http://schemas.openxmlformats.org/officeDocument/2006/relationships/hyperlink" Id="rId113" Target="https://docs.spring.io/spring-cloud-gateway/reference/" TargetMode="External" /><Relationship Type="http://schemas.openxmlformats.org/officeDocument/2006/relationships/hyperlink" Id="rId114" Target="https://docs.spring.io/spring-cloud-netflix/reference/" TargetMode="External" /><Relationship Type="http://schemas.openxmlformats.org/officeDocument/2006/relationships/hyperlink" Id="rId106" Target="https://doi.org/10.1146/annurev-financial-100719-120854" TargetMode="External" /><Relationship Type="http://schemas.openxmlformats.org/officeDocument/2006/relationships/hyperlink" Id="rId107" Target="https://doi.org/10.1509/jmkg.2005.69.4.167" TargetMode="External" /><Relationship Type="http://schemas.openxmlformats.org/officeDocument/2006/relationships/hyperlink" Id="rId108" Target="https://esp.sn/" TargetMode="External" /><Relationship Type="http://schemas.openxmlformats.org/officeDocument/2006/relationships/hyperlink" Id="rId109" Target="https://innov4africa.com/" TargetMode="External" /><Relationship Type="http://schemas.openxmlformats.org/officeDocument/2006/relationships/hyperlink" Id="rId100" Target="https://iso25000.com/index.php/en/iso-25000-standards/iso-25010" TargetMode="External" /><Relationship Type="http://schemas.openxmlformats.org/officeDocument/2006/relationships/hyperlink" Id="rId99" Target="https://martinfowler.com/articles/microservices.html" TargetMode="External" /><Relationship Type="http://schemas.openxmlformats.org/officeDocument/2006/relationships/hyperlink" Id="rId119" Target="https://min.io/docs/minio/linux/index.html" TargetMode="External" /><Relationship Type="http://schemas.openxmlformats.org/officeDocument/2006/relationships/hyperlink" Id="rId110" Target="https://nextjs.org/docs" TargetMode="External" /><Relationship Type="http://schemas.openxmlformats.org/officeDocument/2006/relationships/hyperlink" Id="rId101" Target="https://owasp.org/www-project-application-security-verification-standard/" TargetMode="External" /><Relationship Type="http://schemas.openxmlformats.org/officeDocument/2006/relationships/hyperlink" Id="rId120" Target="https://rasa.com/docs/" TargetMode="External" /><Relationship Type="http://schemas.openxmlformats.org/officeDocument/2006/relationships/hyperlink" Id="rId117" Target="https://redis.io/docs/" TargetMode="External" /><Relationship Type="http://schemas.openxmlformats.org/officeDocument/2006/relationships/hyperlink" Id="rId104" Target="https://www.bceao.int/fr/content/fintech-et-digitalisation-des-services-financiers-dans-luemoa" TargetMode="External" /><Relationship Type="http://schemas.openxmlformats.org/officeDocument/2006/relationships/hyperlink" Id="rId103" Target="https://www.brvm.org/fr/marche-des-actions" TargetMode="External" /><Relationship Type="http://schemas.openxmlformats.org/officeDocument/2006/relationships/hyperlink" Id="rId105" Target="https://www.brvm.org/sites/default/files/20230801_-_instruction_ndeg065-crepmf-2021_-_capital_social_minimum_requis_et_aux_normes_prudentielles_des_sgi_agreees_sur_le_mfr_de_lumoa_0.pdf" TargetMode="External" /><Relationship Type="http://schemas.openxmlformats.org/officeDocument/2006/relationships/hyperlink" Id="rId102" Target="https://www.fatf-gafi.org/en/publications/Financialinclusionandnpoissues/Digital-identity-guidance.html" TargetMode="External" /><Relationship Type="http://schemas.openxmlformats.org/officeDocument/2006/relationships/hyperlink" Id="rId115" Target="https://www.keycloak.org/documentation" TargetMode="External" /><Relationship Type="http://schemas.openxmlformats.org/officeDocument/2006/relationships/hyperlink" Id="rId116" Target="https://www.postgresql.org/docs/" TargetMode="External" /><Relationship Type="http://schemas.openxmlformats.org/officeDocument/2006/relationships/hyperlink" Id="rId118" Target="https://www.rabbitmq.com/docs" TargetMode="External" /><Relationship Type="http://schemas.openxmlformats.org/officeDocument/2006/relationships/hyperlink" Id="rId111" Target="https://www.typescriptlang.org/docs/handbook/" TargetMode="External" /><Relationship Type="http://schemas.openxmlformats.org/officeDocument/2006/relationships/hyperlink" Id="rId121" Target="https://zipkin.io/pages/document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2026-06-01T22:20:20Z</dcterms:created>
  <dcterms:modified xsi:type="dcterms:W3CDTF">2026-06-01T22:20:20Z</dcterms:modified>
</cp:coreProperties>
</file>

<file path=docProps/custom.xml><?xml version="1.0" encoding="utf-8"?>
<Properties xmlns="http://schemas.openxmlformats.org/officeDocument/2006/custom-properties" xmlns:vt="http://schemas.openxmlformats.org/officeDocument/2006/docPropsVTypes"/>
</file>