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tbl>
      <w:tblPr>
        <w:jc w:val="left"/>
        <w:tblCellSpacing w:w="30" w:type="dxa"/>
        <w:tblBorders>
          <w:top w:val="nil"/>
          <w:left w:val="nil"/>
          <w:bottom w:val="nil"/>
          <w:right w:val="nil"/>
          <w:insideH w:val="nil"/>
          <w:insideV w:val="nil"/>
        </w:tblBorders>
      </w:tblPr>
      <w:tr>
        <w:tc>
          <w:tcPr>
            <w:vAlign w:val="center"/>
          </w:tcPr>
          <w:p>
            <w:pPr>
              <w:spacing w:before="0" w:after="0" w:lineRule="atLeast" w:line="240"/>
              <w:rPr>
                <w:rFonts w:ascii="arial" w:eastAsia="arial" w:hAnsi="arial" w:cs="arial"/>
                <w:b w:val="false"/>
                <w:bCs w:val="false"/>
                <w:i w:val="false"/>
                <w:sz w:val="21"/>
                <w:szCs w:val="21"/>
              </w:rPr>
            </w:pPr>
            <w:r>
              <w:drawing>
                <wp:inline>
                  <wp:extent cx="1943100" cy="714375"/>
                  <wp:docPr id="1" name="Picture 1" descr="IBISWorld Logo"/>
                  <a:graphic xmlns:a="http://schemas.openxmlformats.org/drawingml/2006/main">
                    <a:graphicData uri="http://schemas.openxmlformats.org/drawingml/2006/picture">
                      <pic:pic xmlns:pic="http://schemas.openxmlformats.org/drawingml/2006/picture">
                        <pic:nvPicPr>
                          <pic:cNvPr id="2" name="Picture 2"/>
                          <pic:cNvPicPr/>
                        </pic:nvPicPr>
                        <pic:blipFill>
                          <a:blip cstate="print" r:embed="PictureId1"/>
                          <a:stretch>
                            <a:fillRect/>
                          </a:stretch>
                        </pic:blipFill>
                        <pic:spPr>
                          <a:xfrm>
                            <a:off x="0" y="0"/>
                            <a:ext cx="1943100" cy="714375"/>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rPr>
          <w:trHeight w:hRule="atLeast" w:val="270"/>
        </w:trPr>
        <w:tc>
          <w:tcPr>
            <w:vAlign w:val="center"/>
          </w:tcPr>
          <w:p>
            <w:pPr>
              <w:spacing w:before="0" w:after="0" w:lineRule="atLeast" w:line="270"/>
              <w:rPr>
                <w:rFonts w:ascii="arial" w:eastAsia="arial" w:hAnsi="arial" w:cs="arial"/>
                <w:b w:val="false"/>
                <w:bCs w:val="false"/>
                <w:i w:val="false"/>
                <w:sz w:val="21"/>
                <w:szCs w:val="21"/>
              </w:rPr>
            </w:pPr>
            <w:r>
              <w:drawing>
                <wp:inline>
                  <wp:extent cx="228600" cy="228600"/>
                  <wp:docPr id="3" name="Picture 3" descr="IBISWorld Logo"/>
                  <a:graphic xmlns:a="http://schemas.openxmlformats.org/drawingml/2006/main">
                    <a:graphicData uri="http://schemas.openxmlformats.org/drawingml/2006/picture">
                      <pic:pic xmlns:pic="http://schemas.openxmlformats.org/drawingml/2006/picture">
                        <pic:nvPicPr>
                          <pic:cNvPr id="4" name="Picture 4"/>
                          <pic:cNvPicPr/>
                        </pic:nvPicPr>
                        <pic:blipFill>
                          <a:blip cstate="print" r:embed="PictureId2"/>
                          <a:stretch>
                            <a:fillRect/>
                          </a:stretch>
                        </pic:blipFill>
                        <pic:spPr>
                          <a:xfrm>
                            <a:off x="0" y="0"/>
                            <a:ext cx="228600" cy="228600"/>
                          </a:xfrm>
                          <a:prstGeom prst="rect">
                            <a:avLst/>
                          </a:prstGeom>
                        </pic:spPr>
                      </pic:pic>
                    </a:graphicData>
                  </a:graphic>
                </wp:inline>
              </w:drawing>
            </w:r>
            <w:r>
              <w:rPr>
                <w:rFonts w:ascii="arial" w:eastAsia="arial" w:hAnsi="arial" w:cs="arial"/>
                <w:b w:val="false"/>
                <w:bCs w:val="false"/>
                <w:i w:val="false"/>
                <w:color w:val="FFFFFF"/>
                <w:spacing w:val="22"/>
                <w:sz w:val="21"/>
                <w:szCs w:val="21"/>
              </w:rPr>
              <w:t xml:space="preserve">  </w:t>
            </w:r>
            <w:r>
              <w:rPr>
                <w:rFonts w:ascii="arial" w:eastAsia="arial" w:hAnsi="arial" w:cs="arial"/>
                <w:b w:val="false"/>
                <w:bCs w:val="false"/>
                <w:i w:val="false"/>
                <w:color w:val="FFFFFF"/>
                <w:spacing w:val="22"/>
                <w:sz w:val="21"/>
                <w:szCs w:val="21"/>
              </w:rPr>
              <w:t>US INDUSTRY STATE REPORT IL48831</w:t>
            </w:r>
          </w:p>
        </w:tc>
      </w:tr>
      <w:tr>
        <w:tc>
          <w:tcPr>
            <w:tcMar>
              <w:top w:w="0" w:type="dxa"/>
              <w:left w:w="0" w:type="dxa"/>
              <w:bottom w:w="120" w:type="dxa"/>
              <w:right w:w="0" w:type="dxa"/>
            </w:tcMar>
            <w:vAlign w:val="center"/>
          </w:tcPr>
          <w:p>
            <w:pPr>
              <w:spacing w:before="0" w:after="0" w:lineRule="atLeast" w:line="360"/>
              <w:rPr>
                <w:rFonts w:ascii="arial" w:eastAsia="arial" w:hAnsi="arial" w:cs="arial"/>
                <w:b w:val="false"/>
                <w:bCs w:val="false"/>
                <w:i w:val="false"/>
                <w:sz w:val="21"/>
                <w:szCs w:val="21"/>
              </w:rPr>
            </w:pPr>
            <w:r>
              <w:rPr>
                <w:rFonts w:ascii="arial" w:eastAsia="arial" w:hAnsi="arial" w:cs="arial"/>
                <w:b/>
                <w:bCs/>
                <w:i w:val="false"/>
                <w:color w:val="FFFFFF"/>
                <w:spacing w:val="-8"/>
                <w:sz w:val="54"/>
                <w:szCs w:val="54"/>
              </w:rPr>
              <w:t>Port &amp; Harbor Operations in Illinois</w:t>
            </w:r>
          </w:p>
        </w:tc>
      </w:tr>
      <w:tr>
        <w:tc>
          <w:tcPr>
            <w:vAlign w:val="center"/>
          </w:tcPr>
          <w:p>
            <w:pPr>
              <w:spacing w:before="0" w:after="0" w:lineRule="atLeast" w:line="240"/>
              <w:rPr>
                <w:rFonts w:ascii="arial" w:eastAsia="arial" w:hAnsi="arial" w:cs="arial"/>
                <w:b w:val="false"/>
                <w:bCs w:val="false"/>
                <w:i w:val="false"/>
                <w:sz w:val="21"/>
                <w:szCs w:val="21"/>
              </w:rPr>
            </w:pPr>
            <w:r>
              <w:drawing>
                <wp:inline>
                  <wp:extent cx="952500" cy="38100"/>
                  <wp:docPr id="5" name="Picture 5" descr="Divider"/>
                  <a:graphic xmlns:a="http://schemas.openxmlformats.org/drawingml/2006/main">
                    <a:graphicData uri="http://schemas.openxmlformats.org/drawingml/2006/picture">
                      <pic:pic xmlns:pic="http://schemas.openxmlformats.org/drawingml/2006/picture">
                        <pic:nvPicPr>
                          <pic:cNvPr id="6" name="Picture 6"/>
                          <pic:cNvPicPr/>
                        </pic:nvPicPr>
                        <pic:blipFill>
                          <a:blip cstate="print" r:embed="PictureId3"/>
                          <a:stretch>
                            <a:fillRect/>
                          </a:stretch>
                        </pic:blipFill>
                        <pic:spPr>
                          <a:xfrm>
                            <a:off x="0" y="0"/>
                            <a:ext cx="952500" cy="38100"/>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c>
          <w:tcPr>
            <w:vAlign w:val="center"/>
          </w:tcPr>
          <w:p>
            <w:pPr>
              <w:spacing w:before="0" w:after="0" w:lineRule="atLeast" w:line="300"/>
              <w:rPr>
                <w:rFonts w:ascii="arial" w:eastAsia="arial" w:hAnsi="arial" w:cs="arial"/>
                <w:b w:val="false"/>
                <w:bCs w:val="false"/>
                <w:i w:val="false"/>
                <w:sz w:val="21"/>
                <w:szCs w:val="21"/>
              </w:rPr>
            </w:pPr>
            <w:r>
              <w:rPr>
                <w:rFonts w:ascii="arial" w:eastAsia="arial" w:hAnsi="arial" w:cs="arial"/>
                <w:b w:val="false"/>
                <w:bCs w:val="false"/>
                <w:i w:val="false"/>
                <w:color w:val="FFFFFF"/>
                <w:sz w:val="24"/>
                <w:szCs w:val="24"/>
              </w:rPr>
              <w:t>March 2026</w:t>
            </w:r>
          </w:p>
        </w:tc>
      </w:tr>
    </w:tbl>
    <w:p>
      <w:pPr/>
    </w:p>
    <w:p>
      <w:pPr>
        <w:sectPr>
          <w:footerReference w:type="first" r:id="gemHfRid3"/>
          <w:pgSz w:w="11907" w:h="16839" w:code="9"/>
          <w:pgMar w:top="800" w:right="640" w:bottom="1417" w:left="640" w:header="0" w:footer="300" w:gutter="0"/>
          <w:cols w:space="708"/>
          <w:titlePg/>
          <w:docGrid w:linePitch="360"/>
        </w:sectPr>
      </w:pPr>
      <w:r>
        <w:t xml:space="preserve"> </w:t>
      </w:r>
      <w:r>
        <w:drawing>
          <wp:anchor distT="0" distB="0" distL="115200" distR="115200" simplePos="false" relativeHeight="251659264" behindDoc="true" locked="false" layoutInCell="true" allowOverlap="true">
            <wp:simplePos x="0" y="0"/>
            <wp:positionH relativeFrom="page">
              <wp:align>left</wp:align>
            </wp:positionH>
            <wp:positionV relativeFrom="page">
              <wp:posOffset>-914400</wp:posOffset>
            </wp:positionV>
            <wp:extent cx="11430000" cy="7620000"/>
            <wp:wrapNone/>
            <wp:docPr id="7" name="Picture 7"/>
            <a:graphic xmlns:a="http://schemas.openxmlformats.org/drawingml/2006/main">
              <a:graphicData uri="http://schemas.openxmlformats.org/drawingml/2006/picture">
                <pic:pic xmlns:pic="http://schemas.openxmlformats.org/drawingml/2006/picture">
                  <pic:nvPicPr>
                    <pic:cNvPr id="8" name="Picture 8"/>
                    <pic:cNvPicPr/>
                  </pic:nvPicPr>
                  <pic:blipFill>
                    <a:blip cstate="print" r:embed="PictureId4"/>
                    <a:stretch>
                      <a:fillRect/>
                    </a:stretch>
                  </pic:blipFill>
                  <pic:spPr>
                    <a:xfrm>
                      <a:off x="0" y="0"/>
                      <a:ext cx="11430000" cy="7620000"/>
                    </a:xfrm>
                    <a:prstGeom prst="rect">
                      <a:avLst/>
                    </a:prstGeom>
                  </pic:spPr>
                </pic:pic>
              </a:graphicData>
            </a:graphic>
          </wp:anchor>
        </w:drawing>
      </w:r>
    </w:p>
    <w:p>
      <w:pPr>
        <w:pStyle w:val="Heading1"/>
        <w:spacing w:before="0" w:after="240" w:lineRule="atLeast" w:line="420"/>
        <w:ind w:left="0" w:right="0"/>
        <w:rPr>
          <w:rFonts w:ascii="arial" w:eastAsia="arial" w:hAnsi="arial" w:cs="arial"/>
          <w:b w:val="false"/>
          <w:bCs w:val="false"/>
          <w:i w:val="false"/>
          <w:color w:val="333333"/>
          <w:sz w:val="36"/>
          <w:szCs w:val="36"/>
        </w:rPr>
      </w:pPr>
      <w:r>
        <w:rPr>
          <w:rFonts w:ascii="arial" w:eastAsia="arial" w:hAnsi="arial" w:cs="arial"/>
          <w:b w:val="false"/>
          <w:bCs w:val="false"/>
          <w:i w:val="false"/>
          <w:color w:val="333333"/>
          <w:sz w:val="36"/>
          <w:szCs w:val="36"/>
        </w:rPr>
        <w:t>State Industry Report</w:t>
      </w:r>
    </w:p>
    <w:p>
      <w:pPr>
        <w:pStyle w:val="Heading2"/>
        <w:keepNext/>
        <w:spacing w:before="0" w:after="0" w:lineRule="atLeast" w:line="270"/>
        <w:ind w:left="0" w:right="0"/>
        <w:rPr>
          <w:rFonts w:ascii="arial" w:eastAsia="arial" w:hAnsi="arial" w:cs="arial"/>
          <w:b/>
          <w:bCs/>
          <w:i w:val="false"/>
          <w:color w:val="7A1315"/>
          <w:spacing w:val="4"/>
          <w:sz w:val="21"/>
          <w:szCs w:val="21"/>
        </w:rPr>
      </w:pPr>
      <w:r>
        <w:rPr>
          <w:rFonts w:ascii="arial" w:eastAsia="arial" w:hAnsi="arial" w:cs="arial"/>
          <w:b/>
          <w:bCs/>
          <w:i w:val="false"/>
          <w:color w:val="7A1315"/>
          <w:spacing w:val="4"/>
          <w:sz w:val="21"/>
          <w:szCs w:val="21"/>
        </w:rPr>
        <w:t>Industry Performance</w:t>
      </w:r>
    </w:p>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Establishments</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number of Port &amp; Harbor Operations establishments in Illinois accounts for </w:t>
            </w:r>
            <w:r>
              <w:rPr>
                <w:rFonts w:ascii="arial" w:eastAsia="arial" w:hAnsi="arial" w:cs="arial"/>
                <w:b/>
                <w:bCs/>
                <w:i w:val="false"/>
                <w:sz w:val="18"/>
                <w:szCs w:val="18"/>
              </w:rPr>
              <w:t>3.6%</w:t>
            </w:r>
            <w:r>
              <w:rPr>
                <w:rFonts w:ascii="arial" w:eastAsia="arial" w:hAnsi="arial" w:cs="arial"/>
                <w:b w:val="false"/>
                <w:bCs w:val="false"/>
                <w:i w:val="false"/>
                <w:sz w:val="16"/>
                <w:szCs w:val="16"/>
              </w:rPr>
              <w:t xml:space="preserve"> of the </w:t>
            </w:r>
            <w:r>
              <w:rPr>
                <w:rFonts w:ascii="arial" w:eastAsia="arial" w:hAnsi="arial" w:cs="arial"/>
                <w:b/>
                <w:bCs/>
                <w:i w:val="false"/>
                <w:sz w:val="18"/>
                <w:szCs w:val="18"/>
              </w:rPr>
              <w:t>331</w:t>
            </w:r>
            <w:r>
              <w:rPr>
                <w:rFonts w:ascii="arial" w:eastAsia="arial" w:hAnsi="arial" w:cs="arial"/>
                <w:b w:val="false"/>
                <w:bCs w:val="false"/>
                <w:i w:val="false"/>
                <w:sz w:val="16"/>
                <w:szCs w:val="16"/>
              </w:rPr>
              <w:t xml:space="preserve"> establishments within the national industry, ranking Illinois </w:t>
            </w:r>
            <w:r>
              <w:drawing>
                <wp:inline>
                  <wp:extent cx="133350" cy="133350"/>
                  <wp:docPr id="9" name="Picture 9"/>
                  <a:graphic xmlns:a="http://schemas.openxmlformats.org/drawingml/2006/main">
                    <a:graphicData uri="http://schemas.openxmlformats.org/drawingml/2006/picture">
                      <pic:pic xmlns:pic="http://schemas.openxmlformats.org/drawingml/2006/picture">
                        <pic:nvPicPr>
                          <pic:cNvPr id="10" name="Picture 10"/>
                          <pic:cNvPicPr/>
                        </pic:nvPicPr>
                        <pic:blipFill>
                          <a:blip cstate="print" r:embed="PictureId5"/>
                          <a:stretch>
                            <a:fillRect/>
                          </a:stretch>
                        </pic:blipFill>
                        <pic:spPr>
                          <a:xfrm>
                            <a:off x="0" y="0"/>
                            <a:ext cx="133350" cy="133350"/>
                          </a:xfrm>
                          <a:prstGeom prst="rect">
                            <a:avLst/>
                          </a:prstGeom>
                        </pic:spPr>
                      </pic:pic>
                    </a:graphicData>
                  </a:graphic>
                </wp:inline>
              </w:drawing>
            </w:r>
            <w:r>
              <w:rPr>
                <w:rFonts w:ascii="arial" w:eastAsia="arial" w:hAnsi="arial" w:cs="arial"/>
                <w:b w:val="false"/>
                <w:bCs w:val="false"/>
                <w:i w:val="false"/>
                <w:color w:val="086D06"/>
                <w:sz w:val="16"/>
                <w:szCs w:val="16"/>
              </w:rPr>
              <w:t xml:space="preserve"> </w:t>
            </w:r>
            <w:r>
              <w:rPr>
                <w:rFonts w:ascii="arial" w:eastAsia="arial" w:hAnsi="arial" w:cs="arial"/>
                <w:b/>
                <w:bCs/>
                <w:i w:val="false"/>
                <w:color w:val="086D06"/>
                <w:sz w:val="18"/>
                <w:szCs w:val="18"/>
              </w:rPr>
              <w:t>10th</w:t>
            </w:r>
            <w:r>
              <w:rPr>
                <w:rFonts w:ascii="arial" w:eastAsia="arial" w:hAnsi="arial" w:cs="arial"/>
                <w:b w:val="false"/>
                <w:bCs w:val="false"/>
                <w:i w:val="false"/>
                <w:sz w:val="16"/>
                <w:szCs w:val="16"/>
              </w:rPr>
              <w:t xml:space="preserve"> for the number of industry establishments within the US.</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2"/>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Illinois</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#10 in Highest Establishments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12</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Establishments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-1.6% </w:t>
                  </w:r>
                  <w:r>
                    <w:drawing>
                      <wp:inline>
                        <wp:extent cx="139683" cy="63492"/>
                        <wp:docPr id="11" name="Picture 11"/>
                        <a:graphic xmlns:a="http://schemas.openxmlformats.org/drawingml/2006/main">
                          <a:graphicData uri="http://schemas.openxmlformats.org/drawingml/2006/picture">
                            <pic:pic xmlns:pic="http://schemas.openxmlformats.org/drawingml/2006/picture">
                              <pic:nvPicPr>
                                <pic:cNvPr id="12" name="Picture 12"/>
                                <pic:cNvPicPr/>
                              </pic:nvPicPr>
                              <pic:blipFill>
                                <a:blip cstate="print" r:embed="PictureId6"/>
                                <a:stretch>
                                  <a:fillRect/>
                                </a:stretch>
                              </pic:blipFill>
                              <pic:spPr>
                                <a:xfrm>
                                  <a:off x="0" y="0"/>
                                  <a:ext cx="139683" cy="63492"/>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1.6% </w:t>
                  </w:r>
                  <w:r>
                    <w:drawing>
                      <wp:inline>
                        <wp:extent cx="139683" cy="76190"/>
                        <wp:docPr id="13" name="Picture 13"/>
                        <a:graphic xmlns:a="http://schemas.openxmlformats.org/drawingml/2006/main">
                          <a:graphicData uri="http://schemas.openxmlformats.org/drawingml/2006/picture">
                            <pic:pic xmlns:pic="http://schemas.openxmlformats.org/drawingml/2006/picture">
                              <pic:nvPicPr>
                                <pic:cNvPr id="14" name="Picture 1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331</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Establishments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-1.1% </w:t>
                  </w:r>
                  <w:r>
                    <w:drawing>
                      <wp:inline>
                        <wp:extent cx="139683" cy="63492"/>
                        <wp:docPr id="15" name="Picture 15"/>
                        <a:graphic xmlns:a="http://schemas.openxmlformats.org/drawingml/2006/main">
                          <a:graphicData uri="http://schemas.openxmlformats.org/drawingml/2006/picture">
                            <pic:pic xmlns:pic="http://schemas.openxmlformats.org/drawingml/2006/picture">
                              <pic:nvPicPr>
                                <pic:cNvPr id="16" name="Picture 16"/>
                                <pic:cNvPicPr/>
                              </pic:nvPicPr>
                              <pic:blipFill>
                                <a:blip cstate="print" r:embed="PictureId6"/>
                                <a:stretch>
                                  <a:fillRect/>
                                </a:stretch>
                              </pic:blipFill>
                              <pic:spPr>
                                <a:xfrm>
                                  <a:off x="0" y="0"/>
                                  <a:ext cx="139683" cy="63492"/>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0.9% </w:t>
                  </w:r>
                  <w:r>
                    <w:drawing>
                      <wp:inline>
                        <wp:extent cx="139683" cy="76190"/>
                        <wp:docPr id="17" name="Picture 17"/>
                        <a:graphic xmlns:a="http://schemas.openxmlformats.org/drawingml/2006/main">
                          <a:graphicData uri="http://schemas.openxmlformats.org/drawingml/2006/picture">
                            <pic:pic xmlns:pic="http://schemas.openxmlformats.org/drawingml/2006/picture">
                              <pic:nvPicPr>
                                <pic:cNvPr id="18" name="Picture 1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Revenue</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Port &amp; Harbor Operations in Illinois contributes </w:t>
            </w:r>
            <w:r>
              <w:rPr>
                <w:rFonts w:ascii="arial" w:eastAsia="arial" w:hAnsi="arial" w:cs="arial"/>
                <w:b/>
                <w:bCs/>
                <w:i w:val="false"/>
                <w:sz w:val="18"/>
                <w:szCs w:val="18"/>
              </w:rPr>
              <w:t xml:space="preserve">1.7% </w:t>
            </w:r>
            <w:r>
              <w:rPr>
                <w:rFonts w:ascii="arial" w:eastAsia="arial" w:hAnsi="arial" w:cs="arial"/>
                <w:b w:val="false"/>
                <w:bCs w:val="false"/>
                <w:i w:val="false"/>
                <w:sz w:val="16"/>
                <w:szCs w:val="16"/>
              </w:rPr>
              <w:t xml:space="preserve">to the total national industry's revenue of </w:t>
            </w:r>
            <w:r>
              <w:rPr>
                <w:rFonts w:ascii="arial" w:eastAsia="arial" w:hAnsi="arial" w:cs="arial"/>
                <w:b/>
                <w:bCs/>
                <w:i w:val="false"/>
                <w:sz w:val="18"/>
                <w:szCs w:val="18"/>
              </w:rPr>
              <w:t>$6.0 billion</w:t>
            </w:r>
            <w:r>
              <w:rPr>
                <w:rFonts w:ascii="arial" w:eastAsia="arial" w:hAnsi="arial" w:cs="arial"/>
                <w:b w:val="false"/>
                <w:bCs w:val="false"/>
                <w:i w:val="false"/>
                <w:sz w:val="16"/>
                <w:szCs w:val="16"/>
              </w:rPr>
              <w:t xml:space="preserve">, ranking Illinois </w:t>
            </w:r>
            <w:r>
              <w:drawing>
                <wp:inline>
                  <wp:extent cx="133350" cy="133350"/>
                  <wp:docPr id="19" name="Picture 19"/>
                  <a:graphic xmlns:a="http://schemas.openxmlformats.org/drawingml/2006/main">
                    <a:graphicData uri="http://schemas.openxmlformats.org/drawingml/2006/picture">
                      <pic:pic xmlns:pic="http://schemas.openxmlformats.org/drawingml/2006/picture">
                        <pic:nvPicPr>
                          <pic:cNvPr id="20" name="Picture 20"/>
                          <pic:cNvPicPr/>
                        </pic:nvPicPr>
                        <pic:blipFill>
                          <a:blip cstate="print" r:embed="PictureId5"/>
                          <a:stretch>
                            <a:fillRect/>
                          </a:stretch>
                        </pic:blipFill>
                        <pic:spPr>
                          <a:xfrm>
                            <a:off x="0" y="0"/>
                            <a:ext cx="133350" cy="133350"/>
                          </a:xfrm>
                          <a:prstGeom prst="rect">
                            <a:avLst/>
                          </a:prstGeom>
                        </pic:spPr>
                      </pic:pic>
                    </a:graphicData>
                  </a:graphic>
                </wp:inline>
              </w:drawing>
            </w:r>
            <w:r>
              <w:rPr>
                <w:rFonts w:ascii="arial" w:eastAsia="arial" w:hAnsi="arial" w:cs="arial"/>
                <w:b w:val="false"/>
                <w:bCs w:val="false"/>
                <w:i w:val="false"/>
                <w:color w:val="086D06"/>
                <w:sz w:val="16"/>
                <w:szCs w:val="16"/>
              </w:rPr>
              <w:t xml:space="preserve"> </w:t>
            </w:r>
            <w:r>
              <w:rPr>
                <w:rFonts w:ascii="arial" w:eastAsia="arial" w:hAnsi="arial" w:cs="arial"/>
                <w:b/>
                <w:bCs/>
                <w:i w:val="false"/>
                <w:color w:val="086D06"/>
                <w:sz w:val="18"/>
                <w:szCs w:val="18"/>
              </w:rPr>
              <w:t>12th</w:t>
            </w:r>
            <w:r>
              <w:rPr>
                <w:rFonts w:ascii="arial" w:eastAsia="arial" w:hAnsi="arial" w:cs="arial"/>
                <w:b w:val="false"/>
                <w:bCs w:val="false"/>
                <w:i w:val="false"/>
                <w:sz w:val="16"/>
                <w:szCs w:val="16"/>
              </w:rPr>
              <w:t xml:space="preserve"> out of 45 states in total industry revenue.</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Illinois</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#12 in Highest Revenue </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1.7% of state's GDP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$101.6m</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Revenue</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3.5% </w:t>
                  </w:r>
                  <w:r>
                    <w:drawing>
                      <wp:inline>
                        <wp:extent cx="139683" cy="76190"/>
                        <wp:docPr id="21" name="Picture 21"/>
                        <a:graphic xmlns:a="http://schemas.openxmlformats.org/drawingml/2006/main">
                          <a:graphicData uri="http://schemas.openxmlformats.org/drawingml/2006/picture">
                            <pic:pic xmlns:pic="http://schemas.openxmlformats.org/drawingml/2006/picture">
                              <pic:nvPicPr>
                                <pic:cNvPr id="22" name="Picture 2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1.9% </w:t>
                  </w:r>
                  <w:r>
                    <w:drawing>
                      <wp:inline>
                        <wp:extent cx="139683" cy="76190"/>
                        <wp:docPr id="23" name="Picture 23"/>
                        <a:graphic xmlns:a="http://schemas.openxmlformats.org/drawingml/2006/main">
                          <a:graphicData uri="http://schemas.openxmlformats.org/drawingml/2006/picture">
                            <pic:pic xmlns:pic="http://schemas.openxmlformats.org/drawingml/2006/picture">
                              <pic:nvPicPr>
                                <pic:cNvPr id="24" name="Picture 2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$6.0bn</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Revenue</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3.6% </w:t>
                  </w:r>
                  <w:r>
                    <w:drawing>
                      <wp:inline>
                        <wp:extent cx="139683" cy="76190"/>
                        <wp:docPr id="25" name="Picture 25"/>
                        <a:graphic xmlns:a="http://schemas.openxmlformats.org/drawingml/2006/main">
                          <a:graphicData uri="http://schemas.openxmlformats.org/drawingml/2006/picture">
                            <pic:pic xmlns:pic="http://schemas.openxmlformats.org/drawingml/2006/picture">
                              <pic:nvPicPr>
                                <pic:cNvPr id="26" name="Picture 2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2.7% </w:t>
                  </w:r>
                  <w:r>
                    <w:drawing>
                      <wp:inline>
                        <wp:extent cx="139683" cy="76190"/>
                        <wp:docPr id="27" name="Picture 27"/>
                        <a:graphic xmlns:a="http://schemas.openxmlformats.org/drawingml/2006/main">
                          <a:graphicData uri="http://schemas.openxmlformats.org/drawingml/2006/picture">
                            <pic:pic xmlns:pic="http://schemas.openxmlformats.org/drawingml/2006/picture">
                              <pic:nvPicPr>
                                <pic:cNvPr id="28" name="Picture 2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Employment</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Employment for Port &amp; Harbor Operations in Illinois totals an estimated </w:t>
            </w:r>
            <w:r>
              <w:rPr>
                <w:rFonts w:ascii="arial" w:eastAsia="arial" w:hAnsi="arial" w:cs="arial"/>
                <w:b/>
                <w:bCs/>
                <w:i w:val="false"/>
                <w:sz w:val="18"/>
                <w:szCs w:val="18"/>
              </w:rPr>
              <w:t>298</w:t>
            </w:r>
            <w:r>
              <w:rPr>
                <w:rFonts w:ascii="arial" w:eastAsia="arial" w:hAnsi="arial" w:cs="arial"/>
                <w:b w:val="false"/>
                <w:bCs w:val="false"/>
                <w:i w:val="false"/>
                <w:sz w:val="16"/>
                <w:szCs w:val="16"/>
              </w:rPr>
              <w:t xml:space="preserve"> which increased an annualized </w:t>
            </w:r>
            <w:r>
              <w:rPr>
                <w:rFonts w:ascii="arial" w:eastAsia="arial" w:hAnsi="arial" w:cs="arial"/>
                <w:b/>
                <w:bCs/>
                <w:i w:val="false"/>
                <w:sz w:val="18"/>
                <w:szCs w:val="18"/>
              </w:rPr>
              <w:t>3.8%</w:t>
            </w:r>
            <w:r>
              <w:rPr>
                <w:rFonts w:ascii="arial" w:eastAsia="arial" w:hAnsi="arial" w:cs="arial"/>
                <w:b w:val="false"/>
                <w:bCs w:val="false"/>
                <w:i w:val="false"/>
                <w:sz w:val="16"/>
                <w:szCs w:val="16"/>
              </w:rPr>
              <w:t xml:space="preserve"> over the past five years. Illinois employs the </w:t>
            </w:r>
            <w:r>
              <w:drawing>
                <wp:inline>
                  <wp:extent cx="133350" cy="13335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5"/>
                          <a:stretch>
                            <a:fillRect/>
                          </a:stretch>
                        </pic:blipFill>
                        <pic:spPr>
                          <a:xfrm>
                            <a:off x="0" y="0"/>
                            <a:ext cx="133350" cy="133350"/>
                          </a:xfrm>
                          <a:prstGeom prst="rect">
                            <a:avLst/>
                          </a:prstGeom>
                        </pic:spPr>
                      </pic:pic>
                    </a:graphicData>
                  </a:graphic>
                </wp:inline>
              </w:drawing>
            </w:r>
            <w:r>
              <w:rPr>
                <w:rFonts w:ascii="arial" w:eastAsia="arial" w:hAnsi="arial" w:cs="arial"/>
                <w:b w:val="false"/>
                <w:bCs w:val="false"/>
                <w:i w:val="false"/>
                <w:color w:val="086D06"/>
                <w:sz w:val="16"/>
                <w:szCs w:val="16"/>
              </w:rPr>
              <w:t xml:space="preserve"> </w:t>
            </w:r>
            <w:r>
              <w:rPr>
                <w:rFonts w:ascii="arial" w:eastAsia="arial" w:hAnsi="arial" w:cs="arial"/>
                <w:b/>
                <w:bCs/>
                <w:i w:val="false"/>
                <w:color w:val="086D06"/>
                <w:sz w:val="18"/>
                <w:szCs w:val="18"/>
              </w:rPr>
              <w:t>11th</w:t>
            </w:r>
            <w:r>
              <w:rPr>
                <w:rFonts w:ascii="arial" w:eastAsia="arial" w:hAnsi="arial" w:cs="arial"/>
                <w:b w:val="false"/>
                <w:bCs w:val="false"/>
                <w:i w:val="false"/>
                <w:sz w:val="16"/>
                <w:szCs w:val="16"/>
              </w:rPr>
              <w:t>-most employees nationwide.</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2"/>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Illinois</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#11 in Most Employment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298</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Employment</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3.8% </w:t>
                  </w:r>
                  <w:r>
                    <w:drawing>
                      <wp:inline>
                        <wp:extent cx="139683" cy="7619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2.4% </w:t>
                  </w:r>
                  <w:r>
                    <w:drawing>
                      <wp:inline>
                        <wp:extent cx="139683" cy="7619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15,046</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Employment</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3.5% </w:t>
                  </w:r>
                  <w:r>
                    <w:drawing>
                      <wp:inline>
                        <wp:extent cx="139683" cy="76190"/>
                        <wp:docPr id="35" name="Picture 35"/>
                        <a:graphic xmlns:a="http://schemas.openxmlformats.org/drawingml/2006/main">
                          <a:graphicData uri="http://schemas.openxmlformats.org/drawingml/2006/picture">
                            <pic:pic xmlns:pic="http://schemas.openxmlformats.org/drawingml/2006/picture">
                              <pic:nvPicPr>
                                <pic:cNvPr id="36" name="Picture 3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2.4% </w:t>
                  </w:r>
                  <w:r>
                    <w:drawing>
                      <wp:inline>
                        <wp:extent cx="139683" cy="76190"/>
                        <wp:docPr id="37" name="Picture 37"/>
                        <a:graphic xmlns:a="http://schemas.openxmlformats.org/drawingml/2006/main">
                          <a:graphicData uri="http://schemas.openxmlformats.org/drawingml/2006/picture">
                            <pic:pic xmlns:pic="http://schemas.openxmlformats.org/drawingml/2006/picture">
                              <pic:nvPicPr>
                                <pic:cNvPr id="38" name="Picture 3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Wages</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Total wages for Port &amp; Harbor Operations in Illinois amount to </w:t>
            </w:r>
            <w:r>
              <w:rPr>
                <w:rFonts w:ascii="arial" w:eastAsia="arial" w:hAnsi="arial" w:cs="arial"/>
                <w:b/>
                <w:bCs/>
                <w:i w:val="false"/>
                <w:sz w:val="18"/>
                <w:szCs w:val="18"/>
              </w:rPr>
              <w:t>$25.9 million</w:t>
            </w:r>
            <w:r>
              <w:rPr>
                <w:rFonts w:ascii="arial" w:eastAsia="arial" w:hAnsi="arial" w:cs="arial"/>
                <w:b w:val="false"/>
                <w:bCs w:val="false"/>
                <w:i w:val="false"/>
                <w:sz w:val="16"/>
                <w:szCs w:val="16"/>
              </w:rPr>
              <w:t xml:space="preserve">, which increased an annualized 2.6% over the past five years. The average wage of Port &amp; Harbor Operations employees in Illinois is </w:t>
            </w:r>
            <w:r>
              <w:rPr>
                <w:rFonts w:ascii="arial" w:eastAsia="arial" w:hAnsi="arial" w:cs="arial"/>
                <w:b/>
                <w:bCs/>
                <w:i w:val="false"/>
                <w:sz w:val="18"/>
                <w:szCs w:val="18"/>
              </w:rPr>
              <w:t>$86,906</w:t>
            </w:r>
            <w:r>
              <w:rPr>
                <w:rFonts w:ascii="arial" w:eastAsia="arial" w:hAnsi="arial" w:cs="arial"/>
                <w:b w:val="false"/>
                <w:bCs w:val="false"/>
                <w:i w:val="false"/>
                <w:sz w:val="16"/>
                <w:szCs w:val="16"/>
              </w:rPr>
              <w:t xml:space="preserve">, which is </w:t>
            </w:r>
            <w:r>
              <w:rPr>
                <w:rFonts w:ascii="arial" w:eastAsia="arial" w:hAnsi="arial" w:cs="arial"/>
                <w:b/>
                <w:bCs/>
                <w:i w:val="false"/>
                <w:sz w:val="18"/>
                <w:szCs w:val="18"/>
              </w:rPr>
              <w:t>7.1% higher</w:t>
            </w:r>
            <w:r>
              <w:rPr>
                <w:rFonts w:ascii="arial" w:eastAsia="arial" w:hAnsi="arial" w:cs="arial"/>
                <w:b w:val="false"/>
                <w:bCs w:val="false"/>
                <w:i w:val="false"/>
                <w:sz w:val="16"/>
                <w:szCs w:val="16"/>
              </w:rPr>
              <w:t xml:space="preserve"> than the industry's national average wage of $81,158.</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2"/>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Illinois</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#11 in Highest Wages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$25.9m</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Wages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2.6% </w:t>
                  </w:r>
                  <w:r>
                    <w:drawing>
                      <wp:inline>
                        <wp:extent cx="139683" cy="76190"/>
                        <wp:docPr id="39" name="Picture 39"/>
                        <a:graphic xmlns:a="http://schemas.openxmlformats.org/drawingml/2006/main">
                          <a:graphicData uri="http://schemas.openxmlformats.org/drawingml/2006/picture">
                            <pic:pic xmlns:pic="http://schemas.openxmlformats.org/drawingml/2006/picture">
                              <pic:nvPicPr>
                                <pic:cNvPr id="40" name="Picture 40"/>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2.7% </w:t>
                  </w:r>
                  <w:r>
                    <w:drawing>
                      <wp:inline>
                        <wp:extent cx="139683" cy="76190"/>
                        <wp:docPr id="41" name="Picture 41"/>
                        <a:graphic xmlns:a="http://schemas.openxmlformats.org/drawingml/2006/main">
                          <a:graphicData uri="http://schemas.openxmlformats.org/drawingml/2006/picture">
                            <pic:pic xmlns:pic="http://schemas.openxmlformats.org/drawingml/2006/picture">
                              <pic:nvPicPr>
                                <pic:cNvPr id="42" name="Picture 4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$1.2bn</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Wages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2.5% </w:t>
                  </w:r>
                  <w:r>
                    <w:drawing>
                      <wp:inline>
                        <wp:extent cx="139683" cy="7619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2.5% </w:t>
                  </w:r>
                  <w:r>
                    <w:drawing>
                      <wp:inline>
                        <wp:extent cx="139683" cy="7619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bl>
      <w:tblPr>
        <w:tblW w:w="5000" w:type="pct"/>
        <w:jc w:val="left"/>
        <w:tblBorders>
          <w:top w:val="nil"/>
          <w:left w:val="nil"/>
          <w:bottom w:val="nil"/>
          <w:right w:val="nil"/>
          <w:insideH w:val="nil"/>
          <w:insideV w:val="nil"/>
        </w:tblBorders>
      </w:tblPr>
      <w:tr>
        <w:tc>
          <w:tcPr>
            <w:tcW w:w="1000" w:type="pct"/>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Current Performance &amp; Outlook</w:t>
            </w:r>
          </w:p>
        </w:tc>
        <w:tc>
          <w:tcPr>
            <w:tcW w:w="4000" w:type="pct"/>
            <w:vAlign w:val="top"/>
          </w:tcPr>
          <w:p>
            <w:pPr>
              <w:keepNext/>
              <w:keepLines/>
              <w:spacing w:before="0" w:after="18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The Port &amp; Harbor Operations industry in Illinois is expected to grow an annualized 3.5% to $101.6 million over the five years to 2026, while the national industry will likely grow at 3.6% during the same period. Industry establishments decreased an annualized -1.6% to 12 locations. Industry employment has increased an annualized 3.8% to 298 workers, while industry wages have increased an annualized 2.6% to $25.9 million.</w:t>
            </w: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Over the five years to 2031, the industry is expected to grow an annualized 1.9% to $111.7 million, while the national industry is expected to grow 2.7%. Industry establishments are forecast to grow 1.6% to 13 locations. Industry employment is expected to increase an annualized 2.4% to 336 workers, while industry wages are forecast to increase 3% to $29.6 million.</w:t>
            </w:r>
          </w:p>
        </w:tc>
      </w:tr>
    </w:tbl>
    <w:p>
      <w:pPr>
        <w:spacing w:before="0" w:after="0" w:lineRule="atLeast" w:line="225"/>
        <w:ind w:left="0" w:right="0"/>
        <w:rPr>
          <w:rFonts w:ascii="arial" w:eastAsia="arial" w:hAnsi="arial" w:cs="arial"/>
          <w:b w:val="false"/>
          <w:bCs w:val="false"/>
          <w:i w:val="false"/>
          <w:sz w:val="16"/>
          <w:szCs w:val="16"/>
        </w:rPr>
      </w:pPr>
      <w:r>
        <w:br/>
      </w:r>
      <w:r>
        <w:br/>
      </w:r>
      <w:r>
        <w:drawing>
          <wp:inline>
            <wp:extent cx="6667500" cy="3704167"/>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9"/>
                    <a:stretch>
                      <a:fillRect/>
                    </a:stretch>
                  </pic:blipFill>
                  <pic:spPr>
                    <a:xfrm>
                      <a:off x="0" y="0"/>
                      <a:ext cx="6667500" cy="3704167"/>
                    </a:xfrm>
                    <a:prstGeom prst="rect">
                      <a:avLst/>
                    </a:prstGeom>
                  </pic:spPr>
                </pic:pic>
              </a:graphicData>
            </a:graphic>
          </wp:inline>
        </w:drawing>
      </w:r>
      <w:r>
        <w:br/>
      </w:r>
    </w:p>
    <w:p>
      <w:pPr>
        <w:spacing w:before="0" w:after="0" w:lineRule="atLeast" w:line="225"/>
        <w:ind w:left="0" w:right="0"/>
        <w:rPr>
          <w:rFonts w:ascii="arial" w:eastAsia="arial" w:hAnsi="arial" w:cs="arial"/>
          <w:b w:val="false"/>
          <w:bCs w:val="false"/>
          <w:i w:val="false"/>
          <w:color w:val="002F65"/>
          <w:sz w:val="16"/>
          <w:szCs w:val="16"/>
        </w:rPr>
      </w:pPr>
      <w:r>
        <w:drawing>
          <wp:inline>
            <wp:extent cx="95250" cy="9525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10"/>
                    <a:stretch>
                      <a:fillRect/>
                    </a:stretch>
                  </pic:blipFill>
                  <pic:spPr>
                    <a:xfrm>
                      <a:off x="0" y="0"/>
                      <a:ext cx="95250" cy="95250"/>
                    </a:xfrm>
                    <a:prstGeom prst="rect">
                      <a:avLst/>
                    </a:prstGeom>
                  </pic:spPr>
                </pic:pic>
              </a:graphicData>
            </a:graphic>
          </wp:inline>
        </w:drawing>
      </w:r>
      <w:r>
        <w:rPr>
          <w:rFonts w:ascii="arial" w:eastAsia="arial" w:hAnsi="arial" w:cs="arial"/>
          <w:b w:val="false"/>
          <w:bCs w:val="false"/>
          <w:i w:val="false"/>
          <w:color w:val="002F65"/>
          <w:sz w:val="16"/>
          <w:szCs w:val="16"/>
        </w:rPr>
        <w:t xml:space="preserve"> Port &amp; Harbor Operations in Illinois</w:t>
      </w:r>
    </w:p>
    <w:p>
      <w:pPr>
        <w:spacing w:before="0" w:after="0" w:lineRule="atLeast" w:line="225"/>
        <w:ind w:left="0" w:right="0"/>
        <w:rPr>
          <w:rFonts w:ascii="arial" w:eastAsia="arial" w:hAnsi="arial" w:cs="arial"/>
          <w:b w:val="false"/>
          <w:bCs w:val="false"/>
          <w:i w:val="false"/>
          <w:sz w:val="16"/>
          <w:szCs w:val="16"/>
        </w:rPr>
      </w:pPr>
    </w:p>
    <w:p>
      <w:pPr>
        <w:spacing w:before="0" w:after="0" w:lineRule="atLeast" w:line="225"/>
        <w:ind w:left="0" w:right="0"/>
        <w:rPr>
          <w:rFonts w:ascii="arial" w:eastAsia="arial" w:hAnsi="arial" w:cs="arial"/>
          <w:b w:val="false"/>
          <w:bCs w:val="false"/>
          <w:i w:val="false"/>
          <w:color w:val="0B7070"/>
          <w:sz w:val="16"/>
          <w:szCs w:val="16"/>
        </w:rPr>
      </w:pPr>
      <w:r>
        <w:drawing>
          <wp:inline>
            <wp:extent cx="95250" cy="95250"/>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11"/>
                    <a:stretch>
                      <a:fillRect/>
                    </a:stretch>
                  </pic:blipFill>
                  <pic:spPr>
                    <a:xfrm>
                      <a:off x="0" y="0"/>
                      <a:ext cx="95250" cy="95250"/>
                    </a:xfrm>
                    <a:prstGeom prst="rect">
                      <a:avLst/>
                    </a:prstGeom>
                  </pic:spPr>
                </pic:pic>
              </a:graphicData>
            </a:graphic>
          </wp:inline>
        </w:drawing>
      </w:r>
      <w:r>
        <w:rPr>
          <w:rFonts w:ascii="arial" w:eastAsia="arial" w:hAnsi="arial" w:cs="arial"/>
          <w:b w:val="false"/>
          <w:bCs w:val="false"/>
          <w:i w:val="false"/>
          <w:color w:val="0B7070"/>
          <w:sz w:val="16"/>
          <w:szCs w:val="16"/>
        </w:rPr>
        <w:t xml:space="preserve"> Port &amp; Harbor Operations in the US</w:t>
      </w:r>
    </w:p>
    <w:p>
      <w:pPr>
        <w:spacing w:before="0" w:after="0" w:lineRule="atLeast" w:line="225"/>
        <w:ind w:left="0" w:right="0"/>
        <w:rPr>
          <w:rFonts w:ascii="arial" w:eastAsia="arial" w:hAnsi="arial" w:cs="arial"/>
          <w:b w:val="false"/>
          <w:bCs w:val="false"/>
          <w:i w:val="false"/>
          <w:sz w:val="16"/>
          <w:szCs w:val="16"/>
        </w:rPr>
      </w:pP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bl>
      <w:tblPr>
        <w:tblW w:w="5000" w:type="pct"/>
        <w:jc w:val="left"/>
        <w:tblBorders>
          <w:top w:val="nil"/>
          <w:left w:val="nil"/>
          <w:bottom w:val="nil"/>
          <w:right w:val="nil"/>
          <w:insideH w:val="nil"/>
          <w:insideV w:val="nil"/>
        </w:tblBorders>
      </w:tblPr>
      <w:tr>
        <w:tc>
          <w:tcPr>
            <w:tcW w:w="1000" w:type="pct"/>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Key External Drivers</w:t>
            </w:r>
          </w:p>
        </w:tc>
        <w:tc>
          <w:tcPr>
            <w:tcW w:w="4000" w:type="pct"/>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Every industry encounters external factors that impact industry performance. In addition to the three most influential national key external drivers of an industry, we have identified key state level indicators that are likely to impact the local industry's performance.</w:t>
            </w:r>
          </w:p>
        </w:tc>
      </w:tr>
      <w:tr>
        <w:tc>
          <w:tcPr>
            <w:tcW w:w="4000" w:type="pct"/>
            <w:gridSpan w:val="2"/>
            <w:vAlign w:val="top"/>
          </w:tcPr>
          <w:p>
            <w:pPr>
              <w:keepNext/>
              <w:keepLines/>
              <w:spacing w:before="0" w:after="0" w:lineRule="atLeast" w:line="225"/>
              <w:rPr>
                <w:rFonts w:ascii="arial" w:eastAsia="arial" w:hAnsi="arial" w:cs="arial"/>
                <w:b w:val="false"/>
                <w:bCs w:val="false"/>
                <w:i w:val="false"/>
                <w:sz w:val="16"/>
                <w:szCs w:val="16"/>
              </w:rPr>
            </w:pPr>
            <w:r>
              <w:br/>
            </w:r>
          </w:p>
        </w:tc>
      </w:tr>
    </w:tbl>
    <w:p>
      <w:pPr>
        <w:spacing w:before="0" w:after="0"/>
        <w:ind w:left="0" w:right="0"/>
        <w:rPr>
          <w:vanish/>
        </w:rPr>
      </w:pPr>
    </w:p>
    <w:tbl>
      <w:tblPr>
        <w:tblW w:w="5000" w:type="pct"/>
        <w:jc w:val="left"/>
        <w:tblBorders>
          <w:top w:val="nil"/>
          <w:left w:val="nil"/>
          <w:bottom w:val="nil"/>
          <w:right w:val="nil"/>
          <w:insideH w:val="nil"/>
          <w:insideV w:val="nil"/>
        </w:tblBorders>
      </w:tblPr>
      <w:tr>
        <w:tc>
          <w:tcPr>
            <w:tcW w:w="2500" w:type="pct"/>
            <w:vAlign w:val="top"/>
          </w:tcPr>
          <w:tbl>
            <w:tblPr>
              <w:tblW w:w="5000" w:type="pct"/>
              <w:jc w:val="left"/>
              <w:tblBorders>
                <w:top w:val="single" w:sz="6" w:color="EFEFF2"/>
                <w:left w:val="single" w:sz="6" w:color="EFEFF2"/>
                <w:bottom w:val="single" w:sz="6" w:color="EFEFF2"/>
                <w:right w:val="single" w:sz="6" w:color="EFEFF2"/>
              </w:tblBorders>
              <w:tblCellMar>
                <w:top w:w="150" w:type="dxa"/>
                <w:left w:w="150" w:type="dxa"/>
                <w:bottom w:w="150" w:type="dxa"/>
                <w:right w:w="150" w:type="dxa"/>
              </w:tblCellMar>
            </w:tblPr>
            <w:tr>
              <w:tc>
                <w:tcPr>
                  <w:tcW w:w="1667" w:type="pct"/>
                  <w:gridSpan w:val="3"/>
                  <w:vAlign w:val="top"/>
                </w:tcPr>
                <w:p>
                  <w:pPr>
                    <w:pStyle w:val="Heading3"/>
                    <w:keepNext/>
                    <w:keepLines/>
                    <w:spacing w:before="0" w:after="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Illinois Economic Indicators</w:t>
                  </w:r>
                </w:p>
              </w:tc>
            </w:tr>
            <w:tr>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0.2%   </w:t>
                  </w:r>
                  <w:r>
                    <w:drawing>
                      <wp:inline>
                        <wp:extent cx="139683" cy="7619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Population</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11.6%   </w:t>
                  </w:r>
                  <w:r>
                    <w:drawing>
                      <wp:inline>
                        <wp:extent cx="139683" cy="7619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Unemployment Rate</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-1.0%   </w:t>
                  </w:r>
                  <w:r>
                    <w:drawing>
                      <wp:inline>
                        <wp:extent cx="139683" cy="7619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Private Investment in Non-Residential Construction</w:t>
                  </w:r>
                </w:p>
              </w:tc>
            </w:t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View more state economic information in the </w:t>
                  </w:r>
                  <w:hyperlink r:id="gemHypRid12">
                    <w:r>
                      <w:rPr>
                        <w:rFonts w:ascii="arial" w:eastAsia="arial" w:hAnsi="arial" w:cs="arial"/>
                        <w:b w:val="false"/>
                        <w:bCs w:val="false"/>
                        <w:i w:val="false"/>
                        <w:color w:val="C94927"/>
                        <w:sz w:val="16"/>
                        <w:szCs w:val="16"/>
                        <w:u w:color="C94927" w:val="single"/>
                      </w:rPr>
                      <w:t>IL State Economic Profile</w:t>
                    </w:r>
                  </w:hyperlink>
                  <w:r>
                    <w:rPr>
                      <w:rFonts w:ascii="arial" w:eastAsia="arial" w:hAnsi="arial" w:cs="arial"/>
                      <w:b w:val="false"/>
                      <w:bCs w:val="false"/>
                      <w:i w:val="false"/>
                      <w:sz w:val="16"/>
                      <w:szCs w:val="16"/>
                    </w:rPr>
                    <w:t>.</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500" w:type="pct"/>
            <w:vAlign w:val="top"/>
          </w:tcPr>
          <w:tbl>
            <w:tblPr>
              <w:tblW w:w="5000" w:type="pct"/>
              <w:jc w:val="left"/>
              <w:tblBorders>
                <w:top w:val="single" w:sz="6" w:color="EFEFF2"/>
                <w:left w:val="single" w:sz="6" w:color="EFEFF2"/>
                <w:bottom w:val="single" w:sz="6" w:color="EFEFF2"/>
                <w:right w:val="single" w:sz="6" w:color="EFEFF2"/>
              </w:tblBorders>
              <w:tblCellMar>
                <w:top w:w="150" w:type="dxa"/>
                <w:left w:w="150" w:type="dxa"/>
                <w:bottom w:w="150" w:type="dxa"/>
                <w:right w:w="150" w:type="dxa"/>
              </w:tblCellMar>
            </w:tblPr>
            <w:tr>
              <w:tc>
                <w:tcPr>
                  <w:tcW w:w="1667" w:type="pct"/>
                  <w:gridSpan w:val="3"/>
                  <w:vAlign w:val="top"/>
                </w:tcPr>
                <w:p>
                  <w:pPr>
                    <w:pStyle w:val="Heading3"/>
                    <w:keepNext/>
                    <w:keepLines/>
                    <w:spacing w:before="0" w:after="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US Key External Drivers</w:t>
                  </w:r>
                </w:p>
              </w:tc>
            </w:tr>
            <w:tr>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0.5%   </w:t>
                  </w:r>
                  <w:r>
                    <w:drawing>
                      <wp:inline>
                        <wp:extent cx="139683" cy="76190"/>
                        <wp:docPr id="59" name="Picture 59"/>
                        <a:graphic xmlns:a="http://schemas.openxmlformats.org/drawingml/2006/main">
                          <a:graphicData uri="http://schemas.openxmlformats.org/drawingml/2006/picture">
                            <pic:pic xmlns:pic="http://schemas.openxmlformats.org/drawingml/2006/picture">
                              <pic:nvPicPr>
                                <pic:cNvPr id="60" name="Picture 60"/>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Total trade value</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2.1%   </w:t>
                  </w:r>
                  <w:r>
                    <w:drawing>
                      <wp:inline>
                        <wp:extent cx="139683" cy="7619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Consumer spending</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3.8%   </w:t>
                  </w:r>
                  <w:r>
                    <w:drawing>
                      <wp:inline>
                        <wp:extent cx="139683" cy="7619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Freight transportation services index</w:t>
                  </w:r>
                </w:p>
              </w:tc>
            </w:tr>
            <w:tr>
              <w:tc>
                <w:tcPr>
                  <w:tcW w:w="1667" w:type="pct"/>
                  <w:vAlign w:val="top"/>
                </w:tcPr>
                <w:p>
                  <w:pPr>
                    <w:keepNext/>
                    <w:keepLines/>
                    <w:spacing w:before="0" w:after="0" w:lineRule="atLeast" w:line="225"/>
                    <w:rPr>
                      <w:rFonts w:ascii="arial" w:eastAsia="arial" w:hAnsi="arial" w:cs="arial"/>
                      <w:b w:val="false"/>
                      <w:bCs w:val="false"/>
                      <w:i w:val="false"/>
                      <w:sz w:val="16"/>
                      <w:szCs w:val="16"/>
                    </w:rPr>
                  </w:pPr>
                </w:p>
              </w:tc>
            </w:tr>
          </w:tbl>
          <w:p>
            <w:pPr/>
          </w:p>
        </w:tc>
      </w:tr>
    </w:tbl>
    <w:p>
      <w:pPr>
        <w:spacing w:before="0" w:after="0" w:lineRule="atLeast" w:line="225"/>
        <w:ind w:left="0" w:right="0"/>
        <w:rPr>
          <w:rFonts w:ascii="arial" w:eastAsia="arial" w:hAnsi="arial" w:cs="arial"/>
          <w:b w:val="false"/>
          <w:bCs w:val="false"/>
          <w:i w:val="false"/>
          <w:sz w:val="16"/>
          <w:szCs w:val="16"/>
        </w:rPr>
      </w:pPr>
      <w:r>
        <w:br/>
      </w:r>
      <w:r>
        <w:br/>
      </w:r>
      <w:r>
        <w:drawing>
          <wp:inline>
            <wp:extent cx="6667500" cy="3367424"/>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13"/>
                    <a:stretch>
                      <a:fillRect/>
                    </a:stretch>
                  </pic:blipFill>
                  <pic:spPr>
                    <a:xfrm>
                      <a:off x="0" y="0"/>
                      <a:ext cx="6667500" cy="3367424"/>
                    </a:xfrm>
                    <a:prstGeom prst="rect">
                      <a:avLst/>
                    </a:prstGeom>
                  </pic:spPr>
                </pic:pic>
              </a:graphicData>
            </a:graphic>
          </wp:inline>
        </w:drawing>
      </w: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p>
      <w:pPr>
        <w:pStyle w:val="Heading2"/>
        <w:keepNext/>
        <w:spacing w:before="140" w:after="0" w:lineRule="atLeast" w:line="270"/>
        <w:ind w:left="0" w:right="0"/>
        <w:rPr>
          <w:rFonts w:ascii="arial" w:eastAsia="arial" w:hAnsi="arial" w:cs="arial"/>
          <w:b/>
          <w:bCs/>
          <w:i w:val="false"/>
          <w:color w:val="7A1315"/>
          <w:spacing w:val="4"/>
          <w:sz w:val="21"/>
          <w:szCs w:val="21"/>
        </w:rPr>
      </w:pPr>
      <w:r>
        <w:rPr>
          <w:rFonts w:ascii="arial" w:eastAsia="arial" w:hAnsi="arial" w:cs="arial"/>
          <w:b/>
          <w:bCs/>
          <w:i w:val="false"/>
          <w:color w:val="7A1315"/>
          <w:spacing w:val="4"/>
          <w:sz w:val="21"/>
          <w:szCs w:val="21"/>
        </w:rPr>
        <w:t>County Industry Data</w:t>
      </w:r>
    </w:p>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Cook County </w:t>
            </w:r>
            <w:r>
              <w:drawing>
                <wp:inline>
                  <wp:extent cx="114300" cy="1143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2 Est. </w:t>
            </w:r>
            <w:r>
              <w:br/>
            </w:r>
            <w:r>
              <w:rPr>
                <w:rFonts w:ascii="arial" w:eastAsia="arial" w:hAnsi="arial" w:cs="arial"/>
                <w:b w:val="false"/>
                <w:bCs w:val="false"/>
                <w:i w:val="false"/>
                <w:color w:val="5A5A61"/>
                <w:sz w:val="14"/>
                <w:szCs w:val="14"/>
              </w:rPr>
              <w:t>Most Establishments</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Cook County </w:t>
            </w:r>
            <w:r>
              <w:drawing>
                <wp:inline>
                  <wp:extent cx="114300" cy="1143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$37.6m </w:t>
            </w:r>
            <w:r>
              <w:br/>
            </w:r>
            <w:r>
              <w:rPr>
                <w:rFonts w:ascii="arial" w:eastAsia="arial" w:hAnsi="arial" w:cs="arial"/>
                <w:b w:val="false"/>
                <w:bCs w:val="false"/>
                <w:i w:val="false"/>
                <w:color w:val="5A5A61"/>
                <w:sz w:val="14"/>
                <w:szCs w:val="14"/>
              </w:rPr>
              <w:t>Highest Revenue</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Gallatin County </w:t>
            </w:r>
            <w:r>
              <w:drawing>
                <wp:inline>
                  <wp:extent cx="114300" cy="1143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20.0% </w:t>
            </w:r>
            <w:r>
              <w:br/>
            </w:r>
            <w:r>
              <w:rPr>
                <w:rFonts w:ascii="arial" w:eastAsia="arial" w:hAnsi="arial" w:cs="arial"/>
                <w:b w:val="false"/>
                <w:bCs w:val="false"/>
                <w:i w:val="false"/>
                <w:color w:val="5A5A61"/>
                <w:sz w:val="14"/>
                <w:szCs w:val="14"/>
              </w:rPr>
              <w:t>Fastest Growing</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Lasalle County </w:t>
            </w:r>
            <w:r>
              <w:drawing>
                <wp:inline>
                  <wp:extent cx="114300" cy="1143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-4.8% </w:t>
            </w:r>
            <w:r>
              <w:br/>
            </w:r>
            <w:r>
              <w:rPr>
                <w:rFonts w:ascii="arial" w:eastAsia="arial" w:hAnsi="arial" w:cs="arial"/>
                <w:b w:val="false"/>
                <w:bCs w:val="false"/>
                <w:i w:val="false"/>
                <w:color w:val="5A5A61"/>
                <w:sz w:val="14"/>
                <w:szCs w:val="14"/>
              </w:rPr>
              <w:t>Slowest Growing</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Putnam County </w:t>
            </w:r>
            <w:r>
              <w:drawing>
                <wp:inline>
                  <wp:extent cx="114300" cy="1143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$120.8k </w:t>
            </w:r>
            <w:r>
              <w:br/>
            </w:r>
            <w:r>
              <w:rPr>
                <w:rFonts w:ascii="arial" w:eastAsia="arial" w:hAnsi="arial" w:cs="arial"/>
                <w:b w:val="false"/>
                <w:bCs w:val="false"/>
                <w:i w:val="false"/>
                <w:color w:val="5A5A61"/>
                <w:sz w:val="14"/>
                <w:szCs w:val="14"/>
              </w:rPr>
              <w:t>Highest Average Wage</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Cook County </w:t>
            </w:r>
            <w:r>
              <w:drawing>
                <wp:inline>
                  <wp:extent cx="114300" cy="1143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81 Employees </w:t>
            </w:r>
            <w:r>
              <w:br/>
            </w:r>
            <w:r>
              <w:rPr>
                <w:rFonts w:ascii="arial" w:eastAsia="arial" w:hAnsi="arial" w:cs="arial"/>
                <w:b w:val="false"/>
                <w:bCs w:val="false"/>
                <w:i w:val="false"/>
                <w:color w:val="5A5A61"/>
                <w:sz w:val="14"/>
                <w:szCs w:val="14"/>
              </w:rPr>
              <w:t>Most Employees</w:t>
            </w:r>
          </w:p>
        </w:tc>
      </w:tr>
      <w:tr>
        <w:tc>
          <w:tcPr>
            <w:vAlign w:val="top"/>
          </w:tcPr>
          <w:p>
            <w:pPr>
              <w:keepNext/>
              <w:keepLines/>
              <w:spacing w:before="0" w:after="0" w:lineRule="atLeast" w:line="225"/>
              <w:rPr>
                <w:rFonts w:ascii="arial" w:eastAsia="arial" w:hAnsi="arial" w:cs="arial"/>
                <w:b w:val="false"/>
                <w:bCs w:val="false"/>
                <w:i w:val="false"/>
                <w:sz w:val="16"/>
                <w:szCs w:val="16"/>
              </w:rPr>
            </w:pPr>
            <w:r>
              <w:br/>
            </w:r>
          </w:p>
        </w:tc>
      </w:tr>
    </w:tbl>
    <w:p>
      <w:pPr>
        <w:spacing w:before="0" w:after="0"/>
        <w:ind w:left="0" w:right="0"/>
        <w:rPr>
          <w:vanish/>
        </w:rPr>
      </w:pP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Establishments</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15"/>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Establishments</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Cook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16.7%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Alexander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Gallatin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Hardin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Jo Daviess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Lake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Lasalle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Mason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Massac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Peoria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The largest distribution of industry establishments in Illinois is concentrated in Cook County. Cook County accounts for 16.7% of the total establishments within the state.</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establishments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Revenue</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17"/>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Revenue $</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Cook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37.6m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0.2%</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37.0%</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Lake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9.6m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3.7%</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Massac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7.1m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7.0%</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Peoria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6.7m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Tazewell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5.9m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5.8%</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St. Clair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5.8m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Rock Island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5.7m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-0.8%</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Hardin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4.5m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Lasalle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4.3m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-4.8%</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Jo Daviess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3.3m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3.3%</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Cook County contributes most to the state industry's total revenue, with 37% of state revenue coming from the county.</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revenue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Employment</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18"/>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Employment</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Cook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3.8%</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27.2%</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Rock Island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29</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Peoria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25</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8.7%</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Lake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23</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Tazewell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23</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St. Clair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22</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Lasalle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20</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Gallatin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18.2%</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Pulaski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Massac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12</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4.0%</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The largest number of industry employees in Illinois is concentrated in Cook County. Cook County employs 81 individuals - 27.2% of all state industry employees.</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employment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Wages</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19"/>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Wages $</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Cook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6.0m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23.2%</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Tazewell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2.7m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9.5%</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10.6%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St. Clair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2.4m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Lake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2.3m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-5.5%</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Lasalle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2.2m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9.7%</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Peoria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1.8m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-2.2%</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7.1%</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Rock Island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1.6m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Massac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1.4m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7.5%</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5.3%</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Pulaski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999.0k</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Jo Daviess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888.7k</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6.5%</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3.4%</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Cook County has spent the most on total wages within Illinois, with 23.2% of the state's total wages coming from the county.</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wages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r>
        <w:br/>
      </w: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p>
      <w:pPr>
        <w:pStyle w:val="Heading2"/>
        <w:keepNext/>
        <w:spacing w:before="140" w:after="0" w:lineRule="atLeast" w:line="270"/>
        <w:ind w:left="0" w:right="0"/>
        <w:rPr>
          <w:rFonts w:ascii="arial" w:eastAsia="arial" w:hAnsi="arial" w:cs="arial"/>
          <w:b/>
          <w:bCs/>
          <w:i w:val="false"/>
          <w:color w:val="7A1315"/>
          <w:spacing w:val="4"/>
          <w:sz w:val="21"/>
          <w:szCs w:val="21"/>
        </w:rPr>
      </w:pPr>
      <w:r>
        <w:rPr>
          <w:rFonts w:ascii="arial" w:eastAsia="arial" w:hAnsi="arial" w:cs="arial"/>
          <w:b/>
          <w:bCs/>
          <w:i w:val="false"/>
          <w:color w:val="7A1315"/>
          <w:spacing w:val="4"/>
          <w:sz w:val="21"/>
          <w:szCs w:val="21"/>
        </w:rPr>
        <w:t>Key Statistics</w:t>
      </w:r>
    </w:p>
    <w:p>
      <w:pPr>
        <w:spacing w:before="0" w:after="0" w:lineRule="atLeast" w:line="225"/>
        <w:ind w:left="0" w:right="0"/>
        <w:rPr>
          <w:rFonts w:ascii="arial" w:eastAsia="arial" w:hAnsi="arial" w:cs="arial"/>
          <w:b w:val="false"/>
          <w:bCs w:val="false"/>
          <w:i w:val="false"/>
          <w:sz w:val="16"/>
          <w:szCs w:val="16"/>
        </w:rPr>
      </w:pPr>
      <w:r>
        <w:br/>
      </w:r>
    </w:p>
    <w:p>
      <w:pPr>
        <w:pStyle w:val="Heading3"/>
        <w:spacing w:before="0" w:after="18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State Industry Data</w:t>
      </w:r>
    </w:p>
    <w:tbl>
      <w:tblPr>
        <w:tblW w:w="5000" w:type="pct"/>
        <w:jc w:val="left"/>
        <w:tblCellSpacing w:w="0" w:type="dxa"/>
        <w:tblBorders>
          <w:top w:val="nil"/>
          <w:left w:val="nil"/>
          <w:bottom w:val="nil"/>
          <w:right w:val="nil"/>
          <w:insideH w:val="nil"/>
          <w:insideV w:val="nil"/>
        </w:tblBorders>
        <w:shd w:val="clear" w:fill="FAFAFA"/>
      </w:tblPr>
      <w:tr>
        <w:trPr>
          <w:tblHeader/>
        </w:trPr>
        <w:tc>
          <w:tcPr>
            <w:tcW w:w="81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Year</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Revenue </w:t>
            </w:r>
            <w:r>
              <w:br/>
            </w:r>
            <w:r>
              <w:rPr>
                <w:rFonts w:ascii="arial" w:eastAsia="arial" w:hAnsi="arial" w:cs="arial"/>
                <w:b/>
                <w:bCs/>
                <w:i w:val="false"/>
                <w:sz w:val="15"/>
                <w:szCs w:val="15"/>
              </w:rPr>
              <w:t>($m)</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Establishments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Enterprises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Employment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Wages </w:t>
            </w:r>
            <w:r>
              <w:br/>
            </w:r>
            <w:r>
              <w:rPr>
                <w:rFonts w:ascii="arial" w:eastAsia="arial" w:hAnsi="arial" w:cs="arial"/>
                <w:b/>
                <w:bCs/>
                <w:i w:val="false"/>
                <w:sz w:val="15"/>
                <w:szCs w:val="15"/>
              </w:rPr>
              <w:t>($m)</w:t>
            </w:r>
          </w:p>
        </w:tc>
      </w:tr>
      <w:tr>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2007</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34.3</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8.00</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7.00</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127</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9.72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8.56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48.1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7.57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48.8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8.67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51.3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95.0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8.88</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59.2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497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40.7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64.2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65.7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70.6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72.6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75.2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216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19.4</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78.5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21.3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21.0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85.6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22.8</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95.2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22.9</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96.2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23.8</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98.1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291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25.3</w:t>
            </w:r>
          </w:p>
        </w:tc>
      </w:tr>
      <w:tr>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2026</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102</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12.0</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11.0</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298</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25.9</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305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27.4</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28.9</w:t>
            </w:r>
          </w:p>
        </w:tc>
      </w:tr>
    </w:tbl>
    <w:p>
      <w:pPr>
        <w:spacing w:before="0" w:after="0" w:lineRule="atLeast" w:line="225"/>
        <w:ind w:left="0" w:right="0"/>
        <w:rPr>
          <w:rFonts w:ascii="arial" w:eastAsia="arial" w:hAnsi="arial" w:cs="arial"/>
          <w:b w:val="false"/>
          <w:bCs w:val="false"/>
          <w:i w:val="false"/>
          <w:sz w:val="16"/>
          <w:szCs w:val="16"/>
        </w:rPr>
      </w:pPr>
      <w:r>
        <w:br/>
      </w:r>
    </w:p>
    <w:p>
      <w:pPr>
        <w:pStyle w:val="Heading3"/>
        <w:spacing w:before="0" w:after="18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Annual Change</w:t>
      </w:r>
    </w:p>
    <w:tbl>
      <w:tblPr>
        <w:tblW w:w="5000" w:type="pct"/>
        <w:jc w:val="left"/>
        <w:tblCellSpacing w:w="0" w:type="dxa"/>
        <w:tblBorders>
          <w:top w:val="nil"/>
          <w:left w:val="nil"/>
          <w:bottom w:val="nil"/>
          <w:right w:val="nil"/>
          <w:insideH w:val="nil"/>
          <w:insideV w:val="nil"/>
        </w:tblBorders>
        <w:shd w:val="clear" w:fill="FAFAFA"/>
      </w:tblPr>
      <w:tr>
        <w:trPr>
          <w:tblHeader/>
        </w:trPr>
        <w:tc>
          <w:tcPr>
            <w:tcW w:w="81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Year</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Revenue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Establishments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Enterprises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Employment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Wages </w:t>
            </w:r>
            <w:r>
              <w:br/>
            </w:r>
            <w:r>
              <w:rPr>
                <w:rFonts w:ascii="arial" w:eastAsia="arial" w:hAnsi="arial" w:cs="arial"/>
                <w:b/>
                <w:bCs/>
                <w:i w:val="false"/>
                <w:sz w:val="15"/>
                <w:szCs w:val="15"/>
              </w:rPr>
              <w:t>(%)</w:t>
            </w:r>
          </w:p>
        </w:tc>
      </w:tr>
      <w:tr>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2008</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10.9</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25.0</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28.6</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-14.2</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-11.9</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-9.17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-11.6</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-6.06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14.6</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5.26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2.15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2.45</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75.0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423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358</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8.29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-72.6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-70.4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-7.14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-8.33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-7.24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7.50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-7.69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7.85</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-0.85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-3.67</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16.6</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8.33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43.4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4.32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9.63</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-1.47</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5.60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8.81</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5.26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0.64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0.99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-7.69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3.08</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3.14</w:t>
            </w:r>
          </w:p>
        </w:tc>
      </w:tr>
      <w:tr>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2026</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1.37</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0.00</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10.0</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2.41</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2.43</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2.77</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3.01</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8.33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2.82</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2030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2.55</w:t>
            </w:r>
          </w:p>
        </w:tc>
      </w:tr>
    </w:tbl>
    <w:p>
      <w:pPr>
        <w:spacing w:before="0" w:after="0" w:lineRule="atLeast" w:line="225"/>
        <w:ind w:left="0" w:right="0"/>
        <w:rPr>
          <w:rFonts w:ascii="arial" w:eastAsia="arial" w:hAnsi="arial" w:cs="arial"/>
          <w:b w:val="false"/>
          <w:bCs w:val="false"/>
          <w:i w:val="false"/>
          <w:sz w:val="16"/>
          <w:szCs w:val="16"/>
        </w:rPr>
      </w:pPr>
      <w:r>
        <w:br/>
      </w:r>
    </w:p>
    <w:p>
      <w:pPr>
        <w:pStyle w:val="Heading3"/>
        <w:spacing w:before="0" w:after="18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Key Ratios</w:t>
      </w:r>
    </w:p>
    <w:tbl>
      <w:tblPr>
        <w:tblW w:w="5000" w:type="pct"/>
        <w:jc w:val="left"/>
        <w:tblCellSpacing w:w="0" w:type="dxa"/>
        <w:tblBorders>
          <w:top w:val="nil"/>
          <w:left w:val="nil"/>
          <w:bottom w:val="nil"/>
          <w:right w:val="nil"/>
          <w:insideH w:val="nil"/>
          <w:insideV w:val="nil"/>
        </w:tblBorders>
        <w:shd w:val="clear" w:fill="FAFAFA"/>
      </w:tblPr>
      <w:tr>
        <w:trPr>
          <w:tblHeader/>
        </w:trPr>
        <w:tc>
          <w:tcPr>
            <w:tcW w:w="81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Year</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Revenue per Employee </w:t>
            </w:r>
            <w:r>
              <w:br/>
            </w:r>
            <w:r>
              <w:rPr>
                <w:rFonts w:ascii="arial" w:eastAsia="arial" w:hAnsi="arial" w:cs="arial"/>
                <w:b/>
                <w:bCs/>
                <w:i w:val="false"/>
                <w:sz w:val="15"/>
                <w:szCs w:val="15"/>
              </w:rPr>
              <w:t>($'000)</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Employees per estab.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Wages/</w:t>
            </w:r>
            <w:r>
              <w:br/>
            </w:r>
            <w:r>
              <w:rPr>
                <w:rFonts w:ascii="arial" w:eastAsia="arial" w:hAnsi="arial" w:cs="arial"/>
                <w:b/>
                <w:bCs/>
                <w:i w:val="false"/>
                <w:sz w:val="15"/>
                <w:szCs w:val="15"/>
              </w:rPr>
              <w:t xml:space="preserve">Revenue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Average Wages </w:t>
            </w:r>
            <w:r>
              <w:br/>
            </w:r>
            <w:r>
              <w:rPr>
                <w:rFonts w:ascii="arial" w:eastAsia="arial" w:hAnsi="arial" w:cs="arial"/>
                <w:b/>
                <w:bCs/>
                <w:i w:val="false"/>
                <w:sz w:val="15"/>
                <w:szCs w:val="15"/>
              </w:rPr>
              <w:t>($)</w:t>
            </w:r>
          </w:p>
        </w:tc>
      </w:tr>
      <w:tr>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2007</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270</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15.9</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28.3</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76,497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78,530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486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76,432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524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93,236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93,505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68.7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81,906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472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9.71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88,526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501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85,251</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79,237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452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74,850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417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77,774</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89,816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87,166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86,957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92,317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88,260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87,440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86,934</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86,888</w:t>
            </w:r>
          </w:p>
        </w:tc>
      </w:tr>
      <w:tr>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2026</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341</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24.8</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25.5</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86,906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87,265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87,877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88,099</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87,876</w:t>
            </w:r>
          </w:p>
        </w:tc>
      </w:tr>
    </w:tbl>
    <w:p>
      <w:pPr>
        <w:spacing w:before="0" w:after="0" w:lineRule="atLeast" w:line="225"/>
        <w:ind w:left="0" w:right="0"/>
        <w:rPr>
          <w:rFonts w:ascii="arial" w:eastAsia="arial" w:hAnsi="arial" w:cs="arial"/>
          <w:b w:val="false"/>
          <w:bCs w:val="false"/>
          <w:i w:val="false"/>
          <w:sz w:val="16"/>
          <w:szCs w:val="16"/>
        </w:rPr>
      </w:pPr>
      <w:r>
        <w:br/>
      </w:r>
    </w:p>
    <w:p>
      <w:pPr>
        <w:sectPr>
          <w:headerReference w:type="default" r:id="gemHfRid20"/>
          <w:footerReference w:type="default" r:id="gemHfRid21"/>
          <w:pgSz w:w="11907" w:h="16839" w:code="9"/>
          <w:pgMar w:top="640" w:right="640" w:bottom="640" w:left="640" w:header="0" w:footer="0" w:gutter="0"/>
          <w:cols w:space="708"/>
          <w:docGrid w:linePitch="360"/>
        </w:sectPr>
      </w:pPr>
    </w:p>
    <w:tbl>
      <w:tblPr>
        <w:jc w:val="left"/>
        <w:tblCellSpacing w:w="30" w:type="dxa"/>
        <w:tblBorders>
          <w:top w:val="nil"/>
          <w:left w:val="nil"/>
          <w:bottom w:val="nil"/>
          <w:right w:val="nil"/>
          <w:insideH w:val="nil"/>
          <w:insideV w:val="nil"/>
        </w:tblBorders>
      </w:tblPr>
      <w:tr>
        <w:tc>
          <w:tcPr>
            <w:vAlign w:val="center"/>
          </w:tcPr>
          <w:p>
            <w:pPr>
              <w:spacing w:before="0" w:after="0" w:lineRule="atLeast" w:line="240"/>
              <w:rPr>
                <w:rFonts w:ascii="arial" w:eastAsia="arial" w:hAnsi="arial" w:cs="arial"/>
                <w:b w:val="false"/>
                <w:bCs w:val="false"/>
                <w:i w:val="false"/>
                <w:sz w:val="21"/>
                <w:szCs w:val="21"/>
              </w:rPr>
            </w:pPr>
            <w:r>
              <w:drawing>
                <wp:inline>
                  <wp:extent cx="1943100" cy="714375"/>
                  <wp:docPr id="87" name="Picture 87" descr="IBISWorld Logo"/>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20"/>
                          <a:stretch>
                            <a:fillRect/>
                          </a:stretch>
                        </pic:blipFill>
                        <pic:spPr>
                          <a:xfrm>
                            <a:off x="0" y="0"/>
                            <a:ext cx="1943100" cy="714375"/>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c>
          <w:tcPr>
            <w:tcMar>
              <w:top w:w="0" w:type="dxa"/>
              <w:left w:w="0" w:type="dxa"/>
              <w:bottom w:w="120" w:type="dxa"/>
              <w:right w:w="0" w:type="dxa"/>
            </w:tcMar>
            <w:vAlign w:val="center"/>
          </w:tcPr>
          <w:p>
            <w:pPr>
              <w:spacing w:before="0" w:after="0" w:lineRule="atLeast" w:line="360"/>
              <w:rPr>
                <w:rFonts w:ascii="arial" w:eastAsia="arial" w:hAnsi="arial" w:cs="arial"/>
                <w:b w:val="false"/>
                <w:bCs w:val="false"/>
                <w:i w:val="false"/>
                <w:sz w:val="21"/>
                <w:szCs w:val="21"/>
              </w:rPr>
            </w:pPr>
            <w:r>
              <w:rPr>
                <w:rFonts w:ascii="arial" w:eastAsia="arial" w:hAnsi="arial" w:cs="arial"/>
                <w:b/>
                <w:bCs/>
                <w:i w:val="false"/>
                <w:color w:val="FFFFFF"/>
                <w:spacing w:val="-8"/>
                <w:sz w:val="54"/>
                <w:szCs w:val="54"/>
              </w:rPr>
              <w:t>IBISWorld helps you find the industry information you need – fast.</w:t>
            </w:r>
          </w:p>
        </w:tc>
      </w:tr>
      <w:tr>
        <w:tc>
          <w:tcPr>
            <w:vAlign w:val="center"/>
          </w:tcPr>
          <w:p>
            <w:pPr>
              <w:spacing w:before="0" w:after="0" w:lineRule="atLeast" w:line="240"/>
              <w:rPr>
                <w:rFonts w:ascii="arial" w:eastAsia="arial" w:hAnsi="arial" w:cs="arial"/>
                <w:b w:val="false"/>
                <w:bCs w:val="false"/>
                <w:i w:val="false"/>
                <w:sz w:val="21"/>
                <w:szCs w:val="21"/>
              </w:rPr>
            </w:pPr>
            <w:r>
              <w:drawing>
                <wp:inline>
                  <wp:extent cx="952500" cy="38100"/>
                  <wp:docPr id="89" name="Picture 89" descr="Divider"/>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21"/>
                          <a:stretch>
                            <a:fillRect/>
                          </a:stretch>
                        </pic:blipFill>
                        <pic:spPr>
                          <a:xfrm>
                            <a:off x="0" y="0"/>
                            <a:ext cx="952500" cy="38100"/>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rPr>
          <w:trHeight w:hRule="atLeast" w:val="7500"/>
        </w:trPr>
        <w:tc>
          <w:tcPr>
            <w:vAlign w:val="top"/>
          </w:tcPr>
          <w:p>
            <w:pPr>
              <w:spacing w:before="0" w:after="0" w:lineRule="atLeast" w:line="300"/>
              <w:rPr>
                <w:rFonts w:ascii="arial" w:eastAsia="arial" w:hAnsi="arial" w:cs="arial"/>
                <w:b w:val="false"/>
                <w:bCs w:val="false"/>
                <w:i w:val="false"/>
                <w:sz w:val="21"/>
                <w:szCs w:val="21"/>
              </w:rPr>
            </w:pPr>
          </w:p>
        </w:tc>
      </w:tr>
      <w:tr>
        <w:tc>
          <w:tcPr>
            <w:vAlign w:val="center"/>
          </w:tcPr>
          <w:p>
            <w:pPr>
              <w:spacing w:before="0" w:after="0" w:lineRule="atLeast" w:line="240"/>
              <w:ind w:left="0" w:right="0"/>
              <w:rPr>
                <w:rFonts w:ascii="arial" w:eastAsia="arial" w:hAnsi="arial" w:cs="arial"/>
                <w:b w:val="false"/>
                <w:bCs w:val="false"/>
                <w:i w:val="false"/>
                <w:color w:val="FFFFFF"/>
                <w:sz w:val="21"/>
                <w:szCs w:val="21"/>
              </w:rPr>
            </w:pPr>
            <w:r>
              <w:rPr>
                <w:rFonts w:ascii="arial" w:eastAsia="arial" w:hAnsi="arial" w:cs="arial"/>
                <w:b w:val="false"/>
                <w:bCs w:val="false"/>
                <w:i w:val="false"/>
                <w:color w:val="FFFFFF"/>
                <w:sz w:val="21"/>
                <w:szCs w:val="21"/>
              </w:rPr>
              <w:t>DISCLAIMER</w:t>
            </w:r>
          </w:p>
          <w:p>
            <w:pPr>
              <w:spacing w:before="0" w:after="0" w:lineRule="atLeast" w:line="240"/>
              <w:ind w:left="0" w:right="0"/>
              <w:rPr>
                <w:rFonts w:ascii="arial" w:eastAsia="arial" w:hAnsi="arial" w:cs="arial"/>
                <w:b w:val="false"/>
                <w:bCs w:val="false"/>
                <w:i w:val="false"/>
                <w:color w:val="FFFFFF"/>
                <w:sz w:val="21"/>
                <w:szCs w:val="21"/>
              </w:rPr>
            </w:pPr>
            <w:r>
              <w:rPr>
                <w:rFonts w:ascii="arial" w:eastAsia="arial" w:hAnsi="arial" w:cs="arial"/>
                <w:b w:val="false"/>
                <w:bCs w:val="false"/>
                <w:i w:val="false"/>
                <w:color w:val="FFFFFF"/>
                <w:sz w:val="21"/>
                <w:szCs w:val="21"/>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p>
            <w:pPr>
              <w:spacing w:before="0" w:after="0" w:lineRule="atLeast" w:line="240"/>
              <w:rPr>
                <w:rFonts w:ascii="arial" w:eastAsia="arial" w:hAnsi="arial" w:cs="arial"/>
                <w:b w:val="false"/>
                <w:bCs w:val="false"/>
                <w:i w:val="false"/>
                <w:color w:val="FFFFFF"/>
                <w:sz w:val="21"/>
                <w:szCs w:val="21"/>
              </w:rPr>
            </w:pPr>
          </w:p>
          <w:p>
            <w:pPr>
              <w:spacing w:before="0" w:after="0" w:lineRule="atLeast" w:line="240"/>
              <w:ind w:left="0" w:right="0"/>
              <w:rPr>
                <w:rFonts w:ascii="arial" w:eastAsia="arial" w:hAnsi="arial" w:cs="arial"/>
                <w:b w:val="false"/>
                <w:bCs w:val="false"/>
                <w:i w:val="false"/>
                <w:color w:val="FFFFFF"/>
                <w:sz w:val="21"/>
                <w:szCs w:val="21"/>
              </w:rPr>
            </w:pPr>
            <w:r>
              <w:rPr>
                <w:rFonts w:ascii="arial" w:eastAsia="arial" w:hAnsi="arial" w:cs="arial"/>
                <w:b w:val="false"/>
                <w:bCs w:val="false"/>
                <w:i w:val="false"/>
                <w:color w:val="FFFFFF"/>
                <w:sz w:val="21"/>
                <w:szCs w:val="21"/>
              </w:rPr>
              <w:t>Copyright 2026 IBISWorld Inc.</w:t>
            </w:r>
          </w:p>
        </w:tc>
      </w:tr>
    </w:tbl>
    <w:p>
      <w:pPr/>
    </w:p>
    <w:p>
      <w:pPr/>
      <w:r>
        <w:t xml:space="preserve"> </w:t>
      </w:r>
      <w:r>
        <w:drawing>
          <wp:anchor distT="0" distB="0" distL="115200" distR="115200" simplePos="false" relativeHeight="251659264" behindDoc="true" locked="false" layoutInCell="true" allowOverlap="true">
            <wp:simplePos x="0" y="0"/>
            <wp:positionH relativeFrom="page">
              <wp:align>left</wp:align>
            </wp:positionH>
            <wp:positionV relativeFrom="page">
              <wp:posOffset>-914400</wp:posOffset>
            </wp:positionV>
            <wp:extent cx="11430000" cy="12382500"/>
            <wp:wrapNone/>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22"/>
                    <a:stretch>
                      <a:fillRect/>
                    </a:stretch>
                  </pic:blipFill>
                  <pic:spPr>
                    <a:xfrm>
                      <a:off x="0" y="0"/>
                      <a:ext cx="11430000" cy="12382500"/>
                    </a:xfrm>
                    <a:prstGeom prst="rect">
                      <a:avLst/>
                    </a:prstGeom>
                  </pic:spPr>
                </pic:pic>
              </a:graphicData>
            </a:graphic>
          </wp:anchor>
        </w:drawing>
      </w:r>
    </w:p>
    <w:sectPr>
      <w:headerReference w:type="default" r:id="gemHfRid25"/>
      <w:footerReference w:type="default" r:id="gemHfRid26"/>
      <w:pgSz w:w="11907" w:h="16839" w:code="9"/>
      <w:pgMar w:top="800" w:right="640" w:bottom="0" w:left="6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W w:w="5000" w:type="pct"/>
      <w:tblLayout w:type="fixed"/>
    </w:tblPr>
    <w:tr>
      <w:trPr>
        <w:trHeight w:hRule="exact" w:val="800"/>
      </w:trPr>
      <w:tc>
        <w:tcPr>
          <w:tcW w:w="1750" w:type="pct"/>
          <w:tcBorders>
            <w:top w:val="single" w:sz="8" w:color="646464"/>
          </w:tcBorders>
          <w:shd w:val="clear" w:fill="FFFFFF"/>
          <w:vAlign w:val="center"/>
        </w:tcPr>
        <w:p>
          <w:pPr>
            <w:jc w:val="left"/>
          </w:pPr>
          <w:r>
            <w:rPr>
              <w:rFonts w:ascii="Arial" w:eastAsia="Arial" w:hAnsi="Arial" w:cs="Arial"/>
              <w:b w:val="false"/>
              <w:bCs w:val="false"/>
              <w:color w:val="646464"/>
              <w:sz w:val="20"/>
              <w:szCs w:val="20"/>
            </w:rPr>
            <w:t>IBISWorld.com</w:t>
          </w:r>
        </w:p>
      </w:tc>
      <w:tc>
        <w:tcPr>
          <w:tcW w:w="1500" w:type="pct"/>
          <w:tcBorders>
            <w:top w:val="single" w:sz="8" w:color="646464"/>
          </w:tcBorders>
          <w:shd w:val="clear" w:fill="FFFFFF"/>
          <w:vAlign w:val="center"/>
        </w:tcPr>
        <w:p>
          <w:pPr>
            <w:jc w:val="center"/>
          </w:pPr>
          <w:r>
            <w:rPr>
              <w:rFonts w:ascii="Arial" w:eastAsia="Arial" w:hAnsi="Arial" w:cs="Arial"/>
              <w:b w:val="false"/>
              <w:bCs w:val="false"/>
              <w:color w:val="646464"/>
              <w:sz w:val="20"/>
              <w:szCs w:val="20"/>
            </w:rPr>
            <w:t>1-800-330-3772</w:t>
          </w:r>
        </w:p>
      </w:tc>
      <w:tc>
        <w:tcPr>
          <w:tcW w:w="1750" w:type="pct"/>
          <w:tcBorders>
            <w:top w:val="single" w:sz="8" w:color="646464"/>
          </w:tcBorders>
          <w:shd w:val="clear" w:fill="FFFFFF"/>
          <w:vAlign w:val="center"/>
        </w:tcPr>
        <w:p>
          <w:pPr>
            <w:jc w:val="right"/>
          </w:pPr>
          <w:r>
            <w:rPr>
              <w:rFonts w:ascii="Arial" w:eastAsia="Arial" w:hAnsi="Arial" w:cs="Arial"/>
              <w:b w:val="false"/>
              <w:bCs w:val="false"/>
              <w:color w:val="646464"/>
              <w:sz w:val="20"/>
              <w:szCs w:val="20"/>
            </w:rPr>
            <w:t>info@IBISWorld.com</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W w:w="5000" w:type="pct"/>
      <w:tblLayout w:type="fixed"/>
    </w:tblPr>
    <w:tr>
      <w:trPr>
        <w:trHeight w:hRule="exact" w:val="760"/>
      </w:trPr>
      <w:tc>
        <w:tcPr>
          <w:tcW w:w="2500" w:type="pct"/>
          <w:shd w:val="clear" w:fill="FFFFFF"/>
          <w:vAlign w:val="center"/>
        </w:tcPr>
        <w:p>
          <w:pPr>
            <w:jc w:val="left"/>
          </w:pPr>
          <w:r>
            <w:rPr>
              <w:rFonts w:ascii="Arial" w:eastAsia="Arial" w:hAnsi="Arial" w:cs="Arial"/>
              <w:b/>
              <w:bCs/>
              <w:color w:val="646464"/>
              <w:sz w:val="20"/>
              <w:szCs w:val="20"/>
            </w:rPr>
            <w:t>IBISWORLD.COM</w:t>
          </w:r>
        </w:p>
      </w:tc>
      <w:tc>
        <w:tcPr>
          <w:tcW w:w="2500" w:type="pct"/>
          <w:shd w:val="clear" w:fill="FFFFFF"/>
          <w:vAlign w:val="center"/>
        </w:tcPr>
        <w:p>
          <w:pPr>
            <w:jc w:val="right"/>
          </w:pPr>
          <w:r>
            <w:rPr>
              <w:rFonts w:ascii="Arial" w:eastAsia="Arial" w:hAnsi="Arial" w:cs="Arial"/>
              <w:b/>
              <w:bCs/>
              <w:color w:val="646464"/>
              <w:sz w:val="20"/>
              <w:szCs w:val="20"/>
            </w:rPr>
            <w:fldChar w:fldCharType="begin"/>
          </w:r>
          <w:r>
            <w:rPr>
              <w:rFonts w:ascii="Arial" w:eastAsia="Arial" w:hAnsi="Arial" w:cs="Arial"/>
              <w:b/>
              <w:bCs/>
              <w:color w:val="646464"/>
              <w:sz w:val="20"/>
              <w:szCs w:val="20"/>
            </w:rPr>
            <w:instrText xml:space="preserve">PAGE </w:instrText>
          </w:r>
          <w:r>
            <w:rPr>
              <w:rFonts w:ascii="Arial" w:eastAsia="Arial" w:hAnsi="Arial" w:cs="Arial"/>
              <w:b/>
              <w:bCs/>
              <w:color w:val="646464"/>
              <w:sz w:val="20"/>
              <w:szCs w:val="20"/>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pPr w:horzAnchor="page" w:vertAnchor="page"/>
      <w:tblW w:w="12000" w:type="dxa"/>
    </w:tblPr>
    <w:tr>
      <w:trPr>
        <w:trHeight w:hRule="exact" w:val="100"/>
      </w:trPr>
      <w:tc>
        <w:tcPr>
          <w:tcW w:w="900" w:type="dxa"/>
          <w:shd w:val="clear" w:fill="AB091E"/>
        </w:tcPr>
        <w:p>
          <w:pPr/>
          <w:r>
            <w:rPr>
              <w:rFonts w:ascii="Arial" w:eastAsia="Arial" w:hAnsi="Arial" w:cs="Arial"/>
              <w:sz w:val="16"/>
              <w:szCs w:val="16"/>
            </w:rPr>
            <w:t xml:space="preserve"> </w:t>
          </w:r>
        </w:p>
      </w:tc>
      <w:tc>
        <w:tcPr>
          <w:tcW w:w="7700" w:type="dxa"/>
          <w:shd w:val="clear" w:fill="AB091E"/>
        </w:tcPr>
        <w:p>
          <w:pPr/>
          <w:r>
            <w:rPr>
              <w:rFonts w:ascii="Arial" w:eastAsia="Arial" w:hAnsi="Arial" w:cs="Arial"/>
              <w:sz w:val="16"/>
              <w:szCs w:val="16"/>
            </w:rPr>
            <w:t xml:space="preserve"> </w:t>
          </w:r>
        </w:p>
      </w:tc>
      <w:tc>
        <w:tcPr>
          <w:tcW w:w="2600" w:type="dxa"/>
          <w:shd w:val="clear" w:fill="AB091E"/>
        </w:tcPr>
        <w:p>
          <w:pPr/>
          <w:r>
            <w:rPr>
              <w:rFonts w:ascii="Arial" w:eastAsia="Arial" w:hAnsi="Arial" w:cs="Arial"/>
              <w:sz w:val="16"/>
              <w:szCs w:val="16"/>
            </w:rPr>
            <w:t xml:space="preserve"> </w:t>
          </w:r>
        </w:p>
      </w:tc>
      <w:tc>
        <w:tcPr>
          <w:tcW w:w="900" w:type="dxa"/>
          <w:shd w:val="clear" w:fill="AB091E"/>
        </w:tcPr>
        <w:p>
          <w:pPr/>
          <w:r>
            <w:rPr>
              <w:rFonts w:ascii="Arial" w:eastAsia="Arial" w:hAnsi="Arial" w:cs="Arial"/>
              <w:sz w:val="16"/>
              <w:szCs w:val="16"/>
            </w:rPr>
            <w:t xml:space="preserve"> </w:t>
          </w:r>
        </w:p>
      </w:tc>
    </w:tr>
    <w:tr>
      <w:trPr>
        <w:trHeight w:hRule="exact" w:val="520"/>
      </w:trPr>
      <w:tc>
        <w:tcPr>
          <w:tcW w:w="900" w:type="dxa"/>
          <w:shd w:val="clear" w:fill="FFFFFF"/>
        </w:tcPr>
        <w:p>
          <w:pPr/>
          <w:r>
            <w:rPr>
              <w:rFonts w:ascii="Arial" w:eastAsia="Arial" w:hAnsi="Arial" w:cs="Arial"/>
              <w:sz w:val="16"/>
              <w:szCs w:val="16"/>
            </w:rPr>
            <w:t xml:space="preserve"> </w:t>
          </w:r>
        </w:p>
      </w:tc>
      <w:tc>
        <w:tcPr>
          <w:tcW w:w="7700" w:type="dxa"/>
          <w:shd w:val="clear" w:fill="FFFFFF"/>
          <w:vAlign w:val="center"/>
        </w:tcPr>
        <w:p>
          <w:pPr>
            <w:spacing w:before="160"/>
            <w:jc w:val="left"/>
          </w:pPr>
          <w:r>
            <w:rPr>
              <w:rFonts w:ascii="Arial" w:eastAsia="Arial" w:hAnsi="Arial" w:cs="Arial"/>
              <w:b/>
              <w:bCs/>
              <w:color w:val="5A5A61"/>
              <w:sz w:val="18"/>
              <w:szCs w:val="18"/>
            </w:rPr>
            <w:t>Port &amp; Harbor Operations in Illinois</w:t>
          </w:r>
        </w:p>
      </w:tc>
      <w:tc>
        <w:tcPr>
          <w:tcW w:w="7700" w:type="dxa"/>
          <w:shd w:val="clear" w:fill="FFFFFF"/>
          <w:vAlign w:val="center"/>
        </w:tcPr>
        <w:p>
          <w:pPr>
            <w:spacing w:before="160"/>
            <w:jc w:val="right"/>
          </w:pPr>
          <w:r>
            <w:rPr>
              <w:rFonts w:ascii="Arial" w:eastAsia="Arial" w:hAnsi="Arial" w:cs="Arial"/>
              <w:b/>
              <w:bCs/>
              <w:color w:val="5A5A61"/>
              <w:sz w:val="18"/>
              <w:szCs w:val="18"/>
            </w:rPr>
            <w:t>March 2026</w:t>
          </w:r>
        </w:p>
      </w:tc>
      <w:tc>
        <w:tcPr>
          <w:tcW w:w="900" w:type="dxa"/>
          <w:shd w:val="clear" w:fill="FFFFFF"/>
        </w:tcPr>
        <w:p>
          <w:pPr/>
          <w:r>
            <w:rPr>
              <w:rFonts w:ascii="Arial" w:eastAsia="Arial" w:hAnsi="Arial" w:cs="Arial"/>
              <w:sz w:val="16"/>
              <w:szCs w:val="16"/>
            </w:rPr>
            <w:t xml:space="preserve"> </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F8D"/>
    <w:rsid w:val="00806F8D"/>
    <w:rsid w:val="00E0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rPr>
    </w:rPrDefault>
    <w:pPrDefault>
      <w:pPr>
        <w:spacing w:after="200" w:lineRule="auto" w:line="276"/>
      </w:pPr>
    </w:pPrDefault>
  </w:docDefaults>
  <w:style w:type="paragraph" w:styleId="Heading1">
    <w:name w:val="heading 1"/>
    <w:basedOn w:val="Normal"/>
    <w:qFormat/>
    <w:pPr>
      <w:keepNext/>
      <w:keepLines/>
      <w:spacing w:before="480" w:after="0"/>
      <w:outlineLvl w:val="0"/>
    </w:pPr>
    <w:rPr>
      <w:b/>
      <w:bCs/>
      <w:color w:val="365F91"/>
      <w:sz w:val="28"/>
      <w:szCs w:val="28"/>
    </w:rPr>
  </w:style>
  <w:style w:type="paragraph" w:styleId="Heading2">
    <w:name w:val="heading 2"/>
    <w:basedOn w:val="Normal"/>
    <w:qFormat/>
    <w:pPr>
      <w:keepNext/>
      <w:keepLines/>
      <w:spacing w:before="200" w:after="0"/>
      <w:outlineLvl w:val="1"/>
    </w:pPr>
    <w:rPr>
      <w:b/>
      <w:bCs/>
      <w:color w:val="4F81BD"/>
      <w:sz w:val="26"/>
      <w:szCs w:val="26"/>
    </w:rPr>
  </w:style>
  <w:style w:type="paragraph" w:styleId="Heading3">
    <w:name w:val="heading 3"/>
    <w:basedOn w:val="Normal"/>
    <w:qFormat/>
    <w:pPr>
      <w:keepNext/>
      <w:keepLines/>
      <w:spacing w:before="200" w:after="0"/>
      <w:outlineLvl w:val="2"/>
    </w:pPr>
    <w:rPr>
      <w:b/>
      <w:bCs/>
      <w:color w:val="4F81BD"/>
    </w:rPr>
  </w:style>
  <w:style w:type="table" w:styleId="Normal Table" w:default="true">
    <w:name w:val="Normal Table"/>
    <w:uiPriority w:val="99"/>
    <w:semiHidden/>
    <w:unhideWhenUsed/>
    <w:qFormat/>
    <w:pPr/>
    <w:rPr/>
    <w:tblPr>
      <w:tblStyleRowBandSize w:val="1"/>
      <w:tblStyleColBandSize w:val="1"/>
      <w:tblInd w:w="0" w:type="dxa"/>
      <w:tblCellMar>
        <w:top w:w="0" w:type="dxa"/>
        <w:left w:w="108" w:type="dxa"/>
        <w:bottom w:w="0" w:type="dxa"/>
        <w:right w:w="108" w:type="dxa"/>
      </w:tblCellMar>
    </w:tblPr>
    <w:trPr/>
    <w:tcPr/>
  </w:style>
  <w:style w:type="table" w:styleId="Table Grid">
    <w:name w:val="Table Grid"/>
    <w:basedOn w:val="Normal Table"/>
    <w:qFormat/>
    <w:pPr>
      <w:spacing w:after="0" w:lineRule="auto" w:line="240"/>
    </w:pPr>
    <w:rPr/>
    <w:tblPr>
      <w:tblStyleRowBandSize w:val="1"/>
      <w:tblStyleColBandSize w:val="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108" w:type="dxa"/>
        <w:bottom w:w="0" w:type="dxa"/>
        <w:right w:w="108" w:type="dxa"/>
      </w:tblCellMar>
    </w:tblPr>
    <w:trPr/>
    <w:tcPr/>
  </w:style>
  <w:style w:type="paragraph" w:styleId="Normal" w:default="true">
    <w:name w:val="Normal"/>
    <w:qFormat/>
    <w:pP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Relationships xmlns="http://schemas.openxmlformats.org/package/2006/relationships"><Relationship Id="PictureId1" Type="http://schemas.openxmlformats.org/officeDocument/2006/relationships/image" Target="media/image1.png" /><Relationship Id="PictureId2" Type="http://schemas.openxmlformats.org/officeDocument/2006/relationships/image" Target="media/image2.png" /><Relationship Id="PictureId3" Type="http://schemas.openxmlformats.org/officeDocument/2006/relationships/image" Target="media/image3.png" /><Relationship Id="gemHfRid3" Type="http://schemas.openxmlformats.org/officeDocument/2006/relationships/footer" Target="footer1.xml" /><Relationship Id="PictureId4" Type="http://schemas.openxmlformats.org/officeDocument/2006/relationships/image" Target="media/image4.png" /><Relationship Id="PictureId5" Type="http://schemas.openxmlformats.org/officeDocument/2006/relationships/image" Target="media/image5.png" /><Relationship Id="PictureId6" Type="http://schemas.openxmlformats.org/officeDocument/2006/relationships/image" Target="media/image6.png" /><Relationship Id="PictureId7" Type="http://schemas.openxmlformats.org/officeDocument/2006/relationships/image" Target="media/image7.png" /><Relationship Id="gemHypRid8" Type="http://schemas.openxmlformats.org/officeDocument/2006/relationships/hyperlink" Target="https://my.ibisworld.com/us/en/industry/48831" TargetMode="External" /><Relationship Id="PictureId9" Type="http://schemas.openxmlformats.org/officeDocument/2006/relationships/image" Target="media/image8.png" /><Relationship Id="PictureId10" Type="http://schemas.openxmlformats.org/officeDocument/2006/relationships/image" Target="media/image9.png" /><Relationship Id="PictureId11" Type="http://schemas.openxmlformats.org/officeDocument/2006/relationships/image" Target="media/image10.png" /><Relationship Id="gemHypRid12" Type="http://schemas.openxmlformats.org/officeDocument/2006/relationships/hyperlink" Target="https://my.ibisworld.com/us/en/industry-state-profile/il" TargetMode="External" /><Relationship Id="PictureId13" Type="http://schemas.openxmlformats.org/officeDocument/2006/relationships/image" Target="media/image11.png" /><Relationship Id="PictureId14" Type="http://schemas.openxmlformats.org/officeDocument/2006/relationships/image" Target="media/image12.png" /><Relationship Id="PictureId15" Type="http://schemas.openxmlformats.org/officeDocument/2006/relationships/image" Target="media/image13.png" /><Relationship Id="gemHypRid16" Type="http://schemas.openxmlformats.org/officeDocument/2006/relationships/hyperlink" Target="https://my.ibisworld.com/" TargetMode="External" /><Relationship Id="PictureId17" Type="http://schemas.openxmlformats.org/officeDocument/2006/relationships/image" Target="media/image14.png" /><Relationship Id="PictureId18" Type="http://schemas.openxmlformats.org/officeDocument/2006/relationships/image" Target="media/image15.png" /><Relationship Id="PictureId19" Type="http://schemas.openxmlformats.org/officeDocument/2006/relationships/image" Target="media/image16.png" /><Relationship Id="gemHfRid20" Type="http://schemas.openxmlformats.org/officeDocument/2006/relationships/header" Target="header1.xml" /><Relationship Id="gemHfRid21" Type="http://schemas.openxmlformats.org/officeDocument/2006/relationships/footer" Target="footer2.xml" /><Relationship Id="PictureId20" Type="http://schemas.openxmlformats.org/officeDocument/2006/relationships/image" Target="media/image17.png" /><Relationship Id="PictureId21" Type="http://schemas.openxmlformats.org/officeDocument/2006/relationships/image" Target="media/image18.png" /><Relationship Id="PictureId22" Type="http://schemas.openxmlformats.org/officeDocument/2006/relationships/image" Target="media/image19.png" /><Relationship Id="gemHfRid25" Type="http://schemas.openxmlformats.org/officeDocument/2006/relationships/header" Target="header2.xml" /><Relationship Id="gemHfRid26" Type="http://schemas.openxmlformats.org/officeDocument/2006/relationships/footer" Target="footer3.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