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Management Consultants in Norway</w:t>
                            </w:r>
                          </w:p>
                          <w:p>
                            <w:pPr>
                              <w:rPr>
                                <w:b/>
                                <w:bCs/>
                                <w:color w:val="FFFFFF"/>
                                <w:sz w:val="40"/>
                                <w:szCs w:val="40"/>
                              </w:rPr>
                            </w:pPr>
                            <w:r>
                              <w:rPr>
                                <w:b/>
                                <w:bCs/>
                                <w:color w:val="FFFFFF"/>
                                <w:sz w:val="40"/>
                                <w:szCs w:val="40"/>
                              </w:rPr>
                              <w:t>Sep 2025</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Management Consultants in Norway</w:t>
                      </w:r>
                    </w:p>
                    <w:p>
                      <w:pPr>
                        <w:rPr>
                          <w:b/>
                          <w:bCs/>
                          <w:color w:val="FFFFFF"/>
                          <w:sz w:val="40"/>
                          <w:szCs w:val="40"/>
                        </w:rPr>
                      </w:pPr>
                      <w:r>
                        <w:rPr>
                          <w:b/>
                          <w:bCs/>
                          <w:color w:val="FFFFFF"/>
                          <w:sz w:val="40"/>
                          <w:szCs w:val="40"/>
                        </w:rPr>
                        <w:t>Sep 2025</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Factsheet</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2"/>
            <w:tabs>
              <w:tab w:pos="10466" w:val="right" w:leader="dot"/>
            </w:tabs>
          </w:pPr>
          <w:hyperlink w:anchor="_Toc8">
            <w:r>
              <w:t>2. At a Glance</w:t>
            </w:r>
            <w:r>
              <w:tab/>
            </w:r>
            <w:r>
              <w:fldChar w:fldCharType="begin"/>
            </w:r>
            <w:r>
              <w:instrText xml:space="preserve">PAGEREF </w:instrText>
            </w:r>
            <w:r>
              <w:instrText>_Toc8 \h</w:instrText>
            </w:r>
            <w:r>
              <w:fldChar w:fldCharType="separate"/>
            </w:r>
            <w:r>
              <w:rPr/>
              <w:t>6</w:t>
            </w:r>
            <w:r>
              <w:fldChar w:fldCharType="end"/>
            </w:r>
          </w:hyperlink>
        </w:p>
        <w:p>
          <w:pPr>
            <w:pStyle w:val="TOC3"/>
            <w:tabs>
              <w:tab w:pos="10466" w:val="right" w:leader="dot"/>
            </w:tabs>
          </w:pPr>
          <w:hyperlink w:anchor="_Toc9">
            <w:r>
              <w:t>Highlights</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Country Benchmarking</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8</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8</w:t>
            </w:r>
            <w:r>
              <w:fldChar w:fldCharType="end"/>
            </w:r>
          </w:hyperlink>
        </w:p>
        <w:p>
          <w:pPr>
            <w:pStyle w:val="TOC2"/>
            <w:tabs>
              <w:tab w:pos="10466" w:val="right" w:leader="dot"/>
            </w:tabs>
          </w:pPr>
          <w:hyperlink w:anchor="_Toc15">
            <w:r>
              <w:t>3. Performance</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Performance Snapshot</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4. Products and Markets</w:t>
            </w:r>
            <w:r>
              <w:tab/>
            </w:r>
            <w:r>
              <w:fldChar w:fldCharType="begin"/>
            </w:r>
            <w:r>
              <w:instrText xml:space="preserve">PAGEREF </w:instrText>
            </w:r>
            <w:r>
              <w:instrText>_Toc17 \h</w:instrText>
            </w:r>
            <w:r>
              <w:fldChar w:fldCharType="separate"/>
            </w:r>
            <w:r>
              <w:rPr/>
              <w:t>15</w:t>
            </w:r>
            <w:r>
              <w:fldChar w:fldCharType="end"/>
            </w:r>
          </w:hyperlink>
        </w:p>
        <w:p>
          <w:pPr>
            <w:pStyle w:val="TOC3"/>
            <w:tabs>
              <w:tab w:pos="10466" w:val="right" w:leader="dot"/>
            </w:tabs>
          </w:pPr>
          <w:hyperlink w:anchor="_Toc18">
            <w:r>
              <w:t>Products and Services</w:t>
            </w:r>
            <w:r>
              <w:tab/>
            </w:r>
            <w:r>
              <w:fldChar w:fldCharType="begin"/>
            </w:r>
            <w:r>
              <w:instrText xml:space="preserve">PAGEREF </w:instrText>
            </w:r>
            <w:r>
              <w:instrText>_Toc18 \h</w:instrText>
            </w:r>
            <w:r>
              <w:fldChar w:fldCharType="separate"/>
            </w:r>
            <w:r>
              <w:rPr/>
              <w:t>15</w:t>
            </w:r>
            <w:r>
              <w:fldChar w:fldCharType="end"/>
            </w:r>
          </w:hyperlink>
        </w:p>
        <w:p>
          <w:pPr>
            <w:pStyle w:val="TOC3"/>
            <w:tabs>
              <w:tab w:pos="10466" w:val="right" w:leader="dot"/>
            </w:tabs>
          </w:pPr>
          <w:hyperlink w:anchor="_Toc19">
            <w:r>
              <w:t>Major Markets</w:t>
            </w:r>
            <w:r>
              <w:tab/>
            </w:r>
            <w:r>
              <w:fldChar w:fldCharType="begin"/>
            </w:r>
            <w:r>
              <w:instrText xml:space="preserve">PAGEREF </w:instrText>
            </w:r>
            <w:r>
              <w:instrText>_Toc19 \h</w:instrText>
            </w:r>
            <w:r>
              <w:fldChar w:fldCharType="separate"/>
            </w:r>
            <w:r>
              <w:rPr/>
              <w:t>15</w:t>
            </w:r>
            <w:r>
              <w:fldChar w:fldCharType="end"/>
            </w:r>
          </w:hyperlink>
        </w:p>
        <w:p>
          <w:pPr>
            <w:pStyle w:val="TOC2"/>
            <w:tabs>
              <w:tab w:pos="10466" w:val="right" w:leader="dot"/>
            </w:tabs>
          </w:pPr>
          <w:hyperlink w:anchor="_Toc20">
            <w:r>
              <w:t>5. Competitive Forces</w:t>
            </w:r>
            <w:r>
              <w:tab/>
            </w:r>
            <w:r>
              <w:fldChar w:fldCharType="begin"/>
            </w:r>
            <w:r>
              <w:instrText xml:space="preserve">PAGEREF </w:instrText>
            </w:r>
            <w:r>
              <w:instrText>_Toc20 \h</w:instrText>
            </w:r>
            <w:r>
              <w:fldChar w:fldCharType="separate"/>
            </w:r>
            <w:r>
              <w:rPr/>
              <w:t>17</w:t>
            </w:r>
            <w:r>
              <w:fldChar w:fldCharType="end"/>
            </w:r>
          </w:hyperlink>
        </w:p>
        <w:p>
          <w:pPr>
            <w:pStyle w:val="TOC3"/>
            <w:tabs>
              <w:tab w:pos="10466" w:val="right" w:leader="dot"/>
            </w:tabs>
          </w:pPr>
          <w:hyperlink w:anchor="_Toc21">
            <w:r>
              <w:t>Highlights</w:t>
            </w:r>
            <w:r>
              <w:tab/>
            </w:r>
            <w:r>
              <w:fldChar w:fldCharType="begin"/>
            </w:r>
            <w:r>
              <w:instrText xml:space="preserve">PAGEREF </w:instrText>
            </w:r>
            <w:r>
              <w:instrText>_Toc21 \h</w:instrText>
            </w:r>
            <w:r>
              <w:fldChar w:fldCharType="separate"/>
            </w:r>
            <w:r>
              <w:rPr/>
              <w:t>17</w:t>
            </w:r>
            <w:r>
              <w:fldChar w:fldCharType="end"/>
            </w:r>
          </w:hyperlink>
        </w:p>
        <w:p>
          <w:pPr>
            <w:pStyle w:val="TOC3"/>
            <w:tabs>
              <w:tab w:pos="10466" w:val="right" w:leader="dot"/>
            </w:tabs>
          </w:pPr>
          <w:hyperlink w:anchor="_Toc22">
            <w:r>
              <w:t>Buyer &amp; Supplier Power</w:t>
            </w:r>
            <w:r>
              <w:tab/>
            </w:r>
            <w:r>
              <w:fldChar w:fldCharType="begin"/>
            </w:r>
            <w:r>
              <w:instrText xml:space="preserve">PAGEREF </w:instrText>
            </w:r>
            <w:r>
              <w:instrText>_Toc22 \h</w:instrText>
            </w:r>
            <w:r>
              <w:fldChar w:fldCharType="separate"/>
            </w:r>
            <w:r>
              <w:rPr/>
              <w:t>18</w:t>
            </w:r>
            <w:r>
              <w:fldChar w:fldCharType="end"/>
            </w:r>
          </w:hyperlink>
        </w:p>
        <w:p>
          <w:pPr>
            <w:pStyle w:val="TOC2"/>
            <w:tabs>
              <w:tab w:pos="10466" w:val="right" w:leader="dot"/>
            </w:tabs>
          </w:pPr>
          <w:hyperlink w:anchor="_Toc23">
            <w:r>
              <w:t>6. Companies</w:t>
            </w:r>
            <w:r>
              <w:tab/>
            </w:r>
            <w:r>
              <w:fldChar w:fldCharType="begin"/>
            </w:r>
            <w:r>
              <w:instrText xml:space="preserve">PAGEREF </w:instrText>
            </w:r>
            <w:r>
              <w:instrText>_Toc23 \h</w:instrText>
            </w:r>
            <w:r>
              <w:fldChar w:fldCharType="separate"/>
            </w:r>
            <w:r>
              <w:rPr/>
              <w:t>19</w:t>
            </w:r>
            <w:r>
              <w:fldChar w:fldCharType="end"/>
            </w:r>
          </w:hyperlink>
        </w:p>
        <w:p>
          <w:pPr>
            <w:pStyle w:val="TOC2"/>
            <w:tabs>
              <w:tab w:pos="10466" w:val="right" w:leader="dot"/>
            </w:tabs>
          </w:pPr>
          <w:hyperlink w:anchor="_Toc24">
            <w:r>
              <w:t>7. External Environment</w:t>
            </w:r>
            <w:r>
              <w:tab/>
            </w:r>
            <w:r>
              <w:fldChar w:fldCharType="begin"/>
            </w:r>
            <w:r>
              <w:instrText xml:space="preserve">PAGEREF </w:instrText>
            </w:r>
            <w:r>
              <w:instrText>_Toc24 \h</w:instrText>
            </w:r>
            <w:r>
              <w:fldChar w:fldCharType="separate"/>
            </w:r>
            <w:r>
              <w:rPr/>
              <w:t>20</w:t>
            </w:r>
            <w:r>
              <w:fldChar w:fldCharType="end"/>
            </w:r>
          </w:hyperlink>
        </w:p>
        <w:p>
          <w:pPr>
            <w:pStyle w:val="TOC3"/>
            <w:tabs>
              <w:tab w:pos="10466" w:val="right" w:leader="dot"/>
            </w:tabs>
          </w:pPr>
          <w:hyperlink w:anchor="_Toc25">
            <w:r>
              <w:t>Highlights</w:t>
            </w:r>
            <w:r>
              <w:tab/>
            </w:r>
            <w:r>
              <w:fldChar w:fldCharType="begin"/>
            </w:r>
            <w:r>
              <w:instrText xml:space="preserve">PAGEREF </w:instrText>
            </w:r>
            <w:r>
              <w:instrText>_Toc25 \h</w:instrText>
            </w:r>
            <w:r>
              <w:fldChar w:fldCharType="separate"/>
            </w:r>
            <w:r>
              <w:rPr/>
              <w:t>20</w:t>
            </w:r>
            <w:r>
              <w:fldChar w:fldCharType="end"/>
            </w:r>
          </w:hyperlink>
        </w:p>
        <w:p>
          <w:pPr>
            <w:pStyle w:val="TOC3"/>
            <w:tabs>
              <w:tab w:pos="10466" w:val="right" w:leader="dot"/>
            </w:tabs>
          </w:pPr>
          <w:hyperlink w:anchor="_Toc26">
            <w:r>
              <w:t>External Drivers</w:t>
            </w:r>
            <w:r>
              <w:tab/>
            </w:r>
            <w:r>
              <w:fldChar w:fldCharType="begin"/>
            </w:r>
            <w:r>
              <w:instrText xml:space="preserve">PAGEREF </w:instrText>
            </w:r>
            <w:r>
              <w:instrText>_Toc26 \h</w:instrText>
            </w:r>
            <w:r>
              <w:fldChar w:fldCharType="separate"/>
            </w:r>
            <w:r>
              <w:rPr/>
              <w:t>20</w:t>
            </w:r>
            <w:r>
              <w:fldChar w:fldCharType="end"/>
            </w:r>
          </w:hyperlink>
        </w:p>
        <w:p>
          <w:pPr>
            <w:pStyle w:val="TOC2"/>
            <w:tabs>
              <w:tab w:pos="10466" w:val="right" w:leader="dot"/>
            </w:tabs>
          </w:pPr>
          <w:hyperlink w:anchor="_Toc27">
            <w:r>
              <w:t>8. Financial Benchmarks</w:t>
            </w:r>
            <w:r>
              <w:tab/>
            </w:r>
            <w:r>
              <w:fldChar w:fldCharType="begin"/>
            </w:r>
            <w:r>
              <w:instrText xml:space="preserve">PAGEREF </w:instrText>
            </w:r>
            <w:r>
              <w:instrText>_Toc27 \h</w:instrText>
            </w:r>
            <w:r>
              <w:fldChar w:fldCharType="separate"/>
            </w:r>
            <w:r>
              <w:rPr/>
              <w:t>21</w:t>
            </w:r>
            <w:r>
              <w:fldChar w:fldCharType="end"/>
            </w:r>
          </w:hyperlink>
        </w:p>
        <w:p>
          <w:pPr>
            <w:pStyle w:val="TOC3"/>
            <w:tabs>
              <w:tab w:pos="10466" w:val="right" w:leader="dot"/>
            </w:tabs>
          </w:pPr>
          <w:hyperlink w:anchor="_Toc28">
            <w:r>
              <w:t>Highlights</w:t>
            </w:r>
            <w:r>
              <w:tab/>
            </w:r>
            <w:r>
              <w:fldChar w:fldCharType="begin"/>
            </w:r>
            <w:r>
              <w:instrText xml:space="preserve">PAGEREF </w:instrText>
            </w:r>
            <w:r>
              <w:instrText>_Toc28 \h</w:instrText>
            </w:r>
            <w:r>
              <w:fldChar w:fldCharType="separate"/>
            </w:r>
            <w:r>
              <w:rPr/>
              <w:t>21</w:t>
            </w:r>
            <w:r>
              <w:fldChar w:fldCharType="end"/>
            </w:r>
          </w:hyperlink>
        </w:p>
        <w:p>
          <w:pPr>
            <w:pStyle w:val="TOC3"/>
            <w:tabs>
              <w:tab w:pos="10466" w:val="right" w:leader="dot"/>
            </w:tabs>
          </w:pPr>
          <w:hyperlink w:anchor="_Toc29">
            <w:r>
              <w:t>Cost Structure</w:t>
            </w:r>
            <w:r>
              <w:tab/>
            </w:r>
            <w:r>
              <w:fldChar w:fldCharType="begin"/>
            </w:r>
            <w:r>
              <w:instrText xml:space="preserve">PAGEREF </w:instrText>
            </w:r>
            <w:r>
              <w:instrText>_Toc29 \h</w:instrText>
            </w:r>
            <w:r>
              <w:fldChar w:fldCharType="separate"/>
            </w:r>
            <w:r>
              <w:rPr/>
              <w:t>21</w:t>
            </w:r>
            <w:r>
              <w:fldChar w:fldCharType="end"/>
            </w:r>
          </w:hyperlink>
        </w:p>
        <w:p>
          <w:pPr>
            <w:pStyle w:val="TOC3"/>
            <w:tabs>
              <w:tab w:pos="10466" w:val="right" w:leader="dot"/>
            </w:tabs>
          </w:pPr>
          <w:hyperlink w:anchor="_Toc30">
            <w:r>
              <w:t>Key Ratios</w:t>
            </w:r>
            <w:r>
              <w:tab/>
            </w:r>
            <w:r>
              <w:fldChar w:fldCharType="begin"/>
            </w:r>
            <w:r>
              <w:instrText xml:space="preserve">PAGEREF </w:instrText>
            </w:r>
            <w:r>
              <w:instrText>_Toc30 \h</w:instrText>
            </w:r>
            <w:r>
              <w:fldChar w:fldCharType="separate"/>
            </w:r>
            <w:r>
              <w:rPr/>
              <w:t>22</w:t>
            </w:r>
            <w:r>
              <w:fldChar w:fldCharType="end"/>
            </w:r>
          </w:hyperlink>
        </w:p>
        <w:p>
          <w:pPr>
            <w:pStyle w:val="TOC2"/>
            <w:tabs>
              <w:tab w:pos="10466" w:val="right" w:leader="dot"/>
            </w:tabs>
          </w:pPr>
          <w:hyperlink w:anchor="_Toc31">
            <w:r>
              <w:t>9. Country Benchmarks</w:t>
            </w:r>
            <w:r>
              <w:tab/>
            </w:r>
            <w:r>
              <w:fldChar w:fldCharType="begin"/>
            </w:r>
            <w:r>
              <w:instrText xml:space="preserve">PAGEREF </w:instrText>
            </w:r>
            <w:r>
              <w:instrText>_Toc31 \h</w:instrText>
            </w:r>
            <w:r>
              <w:fldChar w:fldCharType="separate"/>
            </w:r>
            <w:r>
              <w:rPr/>
              <w:t>24</w:t>
            </w:r>
            <w:r>
              <w:fldChar w:fldCharType="end"/>
            </w:r>
          </w:hyperlink>
        </w:p>
        <w:p>
          <w:pPr>
            <w:pStyle w:val="TOC3"/>
            <w:tabs>
              <w:tab w:pos="10466" w:val="right" w:leader="dot"/>
            </w:tabs>
          </w:pPr>
          <w:hyperlink w:anchor="_Toc32">
            <w:r>
              <w:t>Structural Comparison</w:t>
            </w:r>
            <w:r>
              <w:tab/>
            </w:r>
            <w:r>
              <w:fldChar w:fldCharType="begin"/>
            </w:r>
            <w:r>
              <w:instrText xml:space="preserve">PAGEREF </w:instrText>
            </w:r>
            <w:r>
              <w:instrText>_Toc32 \h</w:instrText>
            </w:r>
            <w:r>
              <w:fldChar w:fldCharType="separate"/>
            </w:r>
            <w:r>
              <w:rPr/>
              <w:t>24</w:t>
            </w:r>
            <w:r>
              <w:fldChar w:fldCharType="end"/>
            </w:r>
          </w:hyperlink>
        </w:p>
        <w:p>
          <w:pPr>
            <w:pStyle w:val="TOC2"/>
            <w:tabs>
              <w:tab w:pos="10466" w:val="right" w:leader="dot"/>
            </w:tabs>
          </w:pPr>
          <w:hyperlink w:anchor="_Toc33">
            <w:r>
              <w:t>10. Key Statistics</w:t>
            </w:r>
            <w:r>
              <w:tab/>
            </w:r>
            <w:r>
              <w:fldChar w:fldCharType="begin"/>
            </w:r>
            <w:r>
              <w:instrText xml:space="preserve">PAGEREF </w:instrText>
            </w:r>
            <w:r>
              <w:instrText>_Toc33 \h</w:instrText>
            </w:r>
            <w:r>
              <w:fldChar w:fldCharType="separate"/>
            </w:r>
            <w:r>
              <w:rPr/>
              <w:t>26</w:t>
            </w:r>
            <w:r>
              <w:fldChar w:fldCharType="end"/>
            </w:r>
          </w:hyperlink>
        </w:p>
        <w:p>
          <w:pPr>
            <w:pStyle w:val="TOC3"/>
            <w:tabs>
              <w:tab w:pos="10466" w:val="right" w:leader="dot"/>
            </w:tabs>
          </w:pPr>
          <w:hyperlink w:anchor="_Toc34">
            <w:r>
              <w:t>Industry Data</w:t>
            </w:r>
            <w:r>
              <w:tab/>
            </w:r>
            <w:r>
              <w:fldChar w:fldCharType="begin"/>
            </w:r>
            <w:r>
              <w:instrText xml:space="preserve">PAGEREF </w:instrText>
            </w:r>
            <w:r>
              <w:instrText>_Toc34 \h</w:instrText>
            </w:r>
            <w:r>
              <w:fldChar w:fldCharType="separate"/>
            </w:r>
            <w:r>
              <w:rPr/>
              <w:t>26</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https://my.ibisworld.com/no/en/industry/NO-M702/about</w:t>
        </w:r>
      </w:hyperlink>
    </w:p>
    <w:p>
      <w:pPr>
        <w:pStyle w:val="Heading3"/>
      </w:pPr>
      <w:bookmarkStart w:id="2" w:name="_Toc2"/>
      <w:r>
        <w:t>Codes</w:t>
      </w:r>
      <w:bookmarkEnd w:id="2"/>
    </w:p>
    <w:p>
      <w:pPr/>
      <w:r>
        <mc:AlternateContent>
          <mc:Choice Requires="wps">
            <w:drawing>
              <wp:inline>
                <wp:extent cx="4004310" cy="381000"/>
                <wp:docPr id="5" name="Text Box 5"/>
                <a:graphic xmlns:a="http://schemas.openxmlformats.org/drawingml/2006/main">
                  <a:graphicData uri="http://schemas.microsoft.com/office/word/2010/wordprocessingShape">
                    <wps:wsp>
                      <wps:cNvSpPr txBox="true"/>
                      <wps:spPr>
                        <a:xfrm>
                          <a:off x="0" y="0"/>
                          <a:ext cx="4004310" cy="381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702</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3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702</w:t>
                            </w:r>
                          </w:p>
                        </w:tc>
                      </w:tr>
                    </w:tbl>
                  </w:txbxContent>
                </v:textbox>
              </v:roundrect>
            </w:pict>
          </mc:Fallback>
        </mc:AlternateContent>
      </w:r>
    </w:p>
    <w:p>
      <w:pPr>
        <w:pStyle w:val="Heading3"/>
      </w:pPr>
      <w:bookmarkStart w:id="3" w:name="_Toc3"/>
      <w:r>
        <w:t>Definition</w:t>
      </w:r>
      <w:bookmarkEnd w:id="3"/>
    </w:p>
    <w:p>
      <w:pPr/>
      <w:r>
        <w:t>Management consultants provide advice, guidance and operational assistance to businesses and other organisations on management issues. Principal areas of consultation include corporate strategic and organisational planning, marketing, human resources and operational management.</w:t>
      </w:r>
    </w:p>
    <w:p>
      <w:pPr>
        <w:pStyle w:val="Heading3"/>
      </w:pPr>
      <w:bookmarkStart w:id="4" w:name="_Toc4"/>
      <w:r>
        <w:t>Related Terms</w:t>
      </w:r>
      <w:bookmarkEnd w:id="4"/>
    </w:p>
    <w:p>
      <w:pPr>
        <w:pStyle w:val="Heading5"/>
      </w:pPr>
      <w:r>
        <w:t>BIG FOUR</w:t>
      </w:r>
    </w:p>
    <w:p>
      <w:pPr/>
      <w:r>
        <w:t>The nickname used to refer to the four largest professional services networks in the world: PricewaterhouseCoopers, Deloitte, KPMG and Ernst &amp; Young.</w:t>
      </w:r>
    </w:p>
    <w:p>
      <w:pPr>
        <w:pStyle w:val="Heading5"/>
      </w:pPr>
      <w:r>
        <w:t>RESTRUCTURING</w:t>
      </w:r>
    </w:p>
    <w:p>
      <w:pPr/>
      <w:r>
        <w:t>Modifications to a business that can provide improvements to cash flow, profit and the corporate balance sheet.</w:t>
      </w:r>
    </w:p>
    <w:p>
      <w:pPr>
        <w:pStyle w:val="Heading5"/>
      </w:pPr>
      <w:r>
        <w:t>CORPORATE STRATEGY</w:t>
      </w:r>
    </w:p>
    <w:p>
      <w:pPr/>
      <w:r>
        <w:t>The formulation and implementation of the major initiatives taken by a company's top management on behalf of the owners.</w:t>
      </w:r>
    </w:p>
    <w:p>
      <w:pPr>
        <w:pStyle w:val="Heading3"/>
      </w:pPr>
      <w:bookmarkStart w:id="5" w:name="_Toc5"/>
      <w:r>
        <w:t>What's Included</w:t>
      </w:r>
      <w:bookmarkEnd w:id="5"/>
    </w:p>
    <w:p>
      <w:pPr>
        <w:numPr>
          <w:ilvl w:val="0"/>
          <w:numId w:val="1"/>
        </w:numPr>
        <w:spacing w:after="80" w:lineRule="auto" w:line="312"/>
      </w:pPr>
      <w:r>
        <w:rPr>
          <w:b w:val="false"/>
          <w:bCs w:val="false"/>
        </w:rPr>
        <w:t>IT strategy</w:t>
      </w:r>
    </w:p>
    <w:p>
      <w:pPr>
        <w:numPr>
          <w:ilvl w:val="0"/>
          <w:numId w:val="2"/>
        </w:numPr>
        <w:spacing w:after="80" w:lineRule="auto" w:line="312"/>
      </w:pPr>
      <w:r>
        <w:rPr>
          <w:b w:val="false"/>
          <w:bCs w:val="false"/>
        </w:rPr>
        <w:t>Corporate strategy</w:t>
      </w:r>
    </w:p>
    <w:p>
      <w:pPr>
        <w:numPr>
          <w:ilvl w:val="0"/>
          <w:numId w:val="3"/>
        </w:numPr>
        <w:spacing w:after="80" w:lineRule="auto" w:line="312"/>
      </w:pPr>
      <w:r>
        <w:rPr>
          <w:b w:val="false"/>
          <w:bCs w:val="false"/>
        </w:rPr>
        <w:t>Process and operations management</w:t>
      </w:r>
    </w:p>
    <w:p>
      <w:pPr>
        <w:numPr>
          <w:ilvl w:val="0"/>
          <w:numId w:val="4"/>
        </w:numPr>
        <w:spacing w:after="80" w:lineRule="auto" w:line="312"/>
      </w:pPr>
      <w:r>
        <w:rPr>
          <w:b w:val="false"/>
          <w:bCs w:val="false"/>
        </w:rPr>
        <w:t>Programme or project management</w:t>
      </w:r>
    </w:p>
    <w:p>
      <w:pPr>
        <w:numPr>
          <w:ilvl w:val="0"/>
          <w:numId w:val="5"/>
        </w:numPr>
        <w:spacing w:after="80" w:lineRule="auto" w:line="312"/>
      </w:pPr>
      <w:r>
        <w:rPr>
          <w:b w:val="false"/>
          <w:bCs w:val="false"/>
        </w:rPr>
        <w:t>Risk management</w:t>
      </w:r>
    </w:p>
    <w:p>
      <w:pPr>
        <w:numPr>
          <w:ilvl w:val="0"/>
          <w:numId w:val="6"/>
        </w:numPr>
        <w:spacing w:after="80" w:lineRule="auto" w:line="312"/>
      </w:pPr>
      <w:r>
        <w:rPr>
          <w:b w:val="false"/>
          <w:bCs w:val="false"/>
        </w:rPr>
        <w:t>Human capital</w:t>
      </w:r>
    </w:p>
    <w:p>
      <w:pPr>
        <w:numPr>
          <w:ilvl w:val="0"/>
          <w:numId w:val="7"/>
        </w:numPr>
        <w:spacing w:after="80" w:lineRule="auto" w:line="312"/>
      </w:pPr>
      <w:r>
        <w:rPr>
          <w:b w:val="false"/>
          <w:bCs w:val="false"/>
        </w:rPr>
        <w:t>Economic and regulatory consulting</w:t>
      </w:r>
    </w:p>
    <w:p>
      <w:pPr>
        <w:numPr>
          <w:ilvl w:val="0"/>
          <w:numId w:val="8"/>
        </w:numPr>
        <w:spacing w:after="80" w:lineRule="auto" w:line="312"/>
      </w:pPr>
      <w:r>
        <w:rPr>
          <w:b w:val="false"/>
          <w:bCs w:val="false"/>
        </w:rPr>
        <w:t>Business transformation consulting</w:t>
      </w:r>
    </w:p>
    <w:p>
      <w:pPr>
        <w:numPr>
          <w:ilvl w:val="0"/>
          <w:numId w:val="9"/>
        </w:numPr>
        <w:spacing w:after="80" w:lineRule="auto" w:line="312"/>
      </w:pPr>
      <w:r>
        <w:rPr>
          <w:b w:val="false"/>
          <w:bCs w:val="false"/>
        </w:rPr>
        <w:t>Customer and marketing strategy</w:t>
      </w:r>
    </w:p>
    <w:p>
      <w:pPr>
        <w:numPr>
          <w:ilvl w:val="0"/>
          <w:numId w:val="10"/>
        </w:numPr>
        <w:spacing w:after="80" w:lineRule="auto" w:line="312"/>
      </w:pPr>
      <w:r>
        <w:rPr>
          <w:b w:val="false"/>
          <w:bCs w:val="false"/>
        </w:rPr>
        <w:t>Environmental consulting</w:t>
      </w:r>
    </w:p>
    <w:p>
      <w:pPr>
        <w:pStyle w:val="Heading3"/>
      </w:pPr>
      <w:bookmarkStart w:id="6" w:name="_Toc6"/>
      <w:r>
        <w:t>Companies</w:t>
      </w:r>
      <w:bookmarkEnd w:id="6"/>
    </w:p>
    <w:p>
      <w:pPr>
        <w:numPr>
          <w:ilvl w:val="0"/>
          <w:numId w:val="11"/>
        </w:numPr>
        <w:spacing w:after="80" w:lineRule="auto" w:line="312"/>
      </w:pPr>
      <w:r>
        <w:rPr>
          <w:b w:val="false"/>
          <w:bCs w:val="false"/>
        </w:rPr>
        <w:t>Accenture plc</w:t>
      </w:r>
    </w:p>
    <w:p>
      <w:pPr>
        <w:numPr>
          <w:ilvl w:val="0"/>
          <w:numId w:val="12"/>
        </w:numPr>
        <w:spacing w:after="80" w:lineRule="auto" w:line="312"/>
      </w:pPr>
      <w:r>
        <w:rPr>
          <w:b w:val="false"/>
          <w:bCs w:val="false"/>
        </w:rPr>
        <w:t>McKinsey &amp; Company Inc</w:t>
      </w:r>
    </w:p>
    <w:p>
      <w:pPr>
        <w:numPr>
          <w:ilvl w:val="0"/>
          <w:numId w:val="13"/>
        </w:numPr>
        <w:spacing w:after="80" w:lineRule="auto" w:line="312"/>
      </w:pPr>
      <w:r>
        <w:rPr>
          <w:b w:val="false"/>
          <w:bCs w:val="false"/>
        </w:rPr>
        <w:t>PricewaterhouseCoopers International Ltd</w:t>
      </w:r>
    </w:p>
    <w:p>
      <w:pPr>
        <w:numPr>
          <w:ilvl w:val="0"/>
          <w:numId w:val="14"/>
        </w:numPr>
        <w:spacing w:after="80" w:lineRule="auto" w:line="312"/>
      </w:pPr>
      <w:r>
        <w:rPr>
          <w:b w:val="false"/>
          <w:bCs w:val="false"/>
        </w:rPr>
        <w:t>Ernst &amp; Young Global Ltd</w:t>
      </w:r>
    </w:p>
    <w:p>
      <w:pPr>
        <w:numPr>
          <w:ilvl w:val="0"/>
          <w:numId w:val="15"/>
        </w:numPr>
        <w:spacing w:after="80" w:lineRule="auto" w:line="312"/>
      </w:pPr>
      <w:r>
        <w:rPr>
          <w:b w:val="false"/>
          <w:bCs w:val="false"/>
        </w:rPr>
        <w:t>Boston Consulting Group Inc</w:t>
      </w:r>
    </w:p>
    <w:p>
      <w:pPr>
        <w:numPr>
          <w:ilvl w:val="0"/>
          <w:numId w:val="16"/>
        </w:numPr>
        <w:spacing w:after="80" w:lineRule="auto" w:line="312"/>
      </w:pPr>
      <w:r>
        <w:rPr>
          <w:b w:val="false"/>
          <w:bCs w:val="false"/>
        </w:rPr>
        <w:t>KPMG International Ltd</w:t>
      </w:r>
    </w:p>
    <w:p>
      <w:pPr>
        <w:numPr>
          <w:ilvl w:val="0"/>
          <w:numId w:val="17"/>
        </w:numPr>
        <w:spacing w:after="80" w:lineRule="auto" w:line="312"/>
      </w:pPr>
      <w:r>
        <w:rPr>
          <w:b w:val="false"/>
          <w:bCs w:val="false"/>
        </w:rPr>
        <w:t>Bain &amp; Company Inc</w:t>
      </w:r>
    </w:p>
    <w:p>
      <w:pPr>
        <w:pStyle w:val="Heading3"/>
      </w:pPr>
      <w:bookmarkStart w:id="7" w:name="_Toc7"/>
      <w:r>
        <w:t>Related Industries</w:t>
      </w:r>
      <w:bookmarkEnd w:id="7"/>
    </w:p>
    <w:p>
      <w:pPr>
        <w:pStyle w:val="Heading4"/>
      </w:pPr>
      <w:r>
        <w:t>Industries in the Same Sector</w:t>
      </w:r>
    </w:p>
    <w:p>
      <w:pPr>
        <w:numPr>
          <w:ilvl w:val="0"/>
          <w:numId w:val="18"/>
        </w:numPr>
        <w:spacing w:after="80" w:lineRule="auto" w:line="312"/>
      </w:pPr>
      <w:r>
        <w:rPr>
          <w:b/>
          <w:bCs/>
        </w:rPr>
        <w:t>Competitors:</w:t>
      </w:r>
    </w:p>
    <w:p>
      <w:pPr>
        <w:numPr>
          <w:ilvl w:val="1"/>
          <w:numId w:val="19"/>
        </w:numPr>
        <w:spacing w:after="80" w:lineRule="auto" w:line="312"/>
      </w:pPr>
      <w:r>
        <w:rPr>
          <w:b w:val="false"/>
          <w:bCs w:val="false"/>
        </w:rPr>
        <w:t>Computer Consultants in Norway</w:t>
      </w:r>
    </w:p>
    <w:p>
      <w:pPr>
        <w:numPr>
          <w:ilvl w:val="1"/>
          <w:numId w:val="20"/>
        </w:numPr>
        <w:spacing w:after="80" w:lineRule="auto" w:line="312"/>
      </w:pPr>
      <w:r>
        <w:rPr>
          <w:b w:val="false"/>
          <w:bCs w:val="false"/>
        </w:rPr>
        <w:t>Employment Placement Agencies in Norway</w:t>
      </w:r>
    </w:p>
    <w:p>
      <w:pPr>
        <w:numPr>
          <w:ilvl w:val="0"/>
          <w:numId w:val="21"/>
        </w:numPr>
        <w:spacing w:after="80" w:lineRule="auto" w:line="312"/>
      </w:pPr>
      <w:r>
        <w:rPr>
          <w:b/>
          <w:bCs/>
        </w:rPr>
        <w:t>Complementors:</w:t>
      </w:r>
    </w:p>
    <w:p>
      <w:pPr>
        <w:numPr>
          <w:ilvl w:val="1"/>
          <w:numId w:val="22"/>
        </w:numPr>
        <w:spacing w:after="80" w:lineRule="auto" w:line="312"/>
      </w:pPr>
      <w:r>
        <w:rPr>
          <w:b w:val="false"/>
          <w:bCs w:val="false"/>
        </w:rPr>
        <w:t>Legal Activities in Norway</w:t>
      </w:r>
    </w:p>
    <w:p>
      <w:pPr>
        <w:numPr>
          <w:ilvl w:val="1"/>
          <w:numId w:val="23"/>
        </w:numPr>
        <w:spacing w:after="80" w:lineRule="auto" w:line="312"/>
      </w:pPr>
      <w:r>
        <w:rPr>
          <w:b w:val="false"/>
          <w:bCs w:val="false"/>
        </w:rPr>
        <w:t>Accounting &amp; Auditing in Norway</w:t>
      </w:r>
    </w:p>
    <w:p>
      <w:pPr>
        <w:pStyle w:val="Heading4"/>
      </w:pPr>
      <w:r>
        <w:t>International Industries</w:t>
      </w:r>
    </w:p>
    <w:p>
      <w:pPr>
        <w:numPr>
          <w:ilvl w:val="0"/>
          <w:numId w:val="24"/>
        </w:numPr>
        <w:spacing w:after="80" w:lineRule="auto" w:line="312"/>
      </w:pPr>
      <w:r>
        <w:rPr>
          <w:b w:val="false"/>
          <w:bCs w:val="false"/>
        </w:rPr>
        <w:t>Management Consulting in the US</w:t>
      </w:r>
    </w:p>
    <w:p>
      <w:pPr>
        <w:numPr>
          <w:ilvl w:val="0"/>
          <w:numId w:val="25"/>
        </w:numPr>
        <w:spacing w:after="80" w:lineRule="auto" w:line="312"/>
      </w:pPr>
      <w:r>
        <w:rPr>
          <w:b w:val="false"/>
          <w:bCs w:val="false"/>
        </w:rPr>
        <w:t>Management Consulting in Canada</w:t>
      </w:r>
    </w:p>
    <w:p>
      <w:pPr>
        <w:numPr>
          <w:ilvl w:val="0"/>
          <w:numId w:val="26"/>
        </w:numPr>
        <w:spacing w:after="80" w:lineRule="auto" w:line="312"/>
      </w:pPr>
      <w:r>
        <w:rPr>
          <w:b w:val="false"/>
          <w:bCs w:val="false"/>
        </w:rPr>
        <w:t>Management Consulting in Australia</w:t>
      </w:r>
    </w:p>
    <w:p>
      <w:pPr>
        <w:numPr>
          <w:ilvl w:val="0"/>
          <w:numId w:val="27"/>
        </w:numPr>
        <w:spacing w:after="80" w:lineRule="auto" w:line="312"/>
      </w:pPr>
      <w:r>
        <w:rPr>
          <w:b w:val="false"/>
          <w:bCs w:val="false"/>
        </w:rPr>
        <w:t>Management Consultants in the UK</w:t>
      </w:r>
    </w:p>
    <w:p>
      <w:pPr>
        <w:numPr>
          <w:ilvl w:val="0"/>
          <w:numId w:val="28"/>
        </w:numPr>
        <w:spacing w:after="80" w:lineRule="auto" w:line="312"/>
      </w:pPr>
      <w:r>
        <w:rPr>
          <w:b w:val="false"/>
          <w:bCs w:val="false"/>
        </w:rPr>
        <w:t>Management Consultants in Germany</w:t>
      </w:r>
    </w:p>
    <w:p>
      <w:pPr>
        <w:numPr>
          <w:ilvl w:val="0"/>
          <w:numId w:val="29"/>
        </w:numPr>
        <w:spacing w:after="80" w:lineRule="auto" w:line="312"/>
      </w:pPr>
      <w:r>
        <w:rPr>
          <w:b w:val="false"/>
          <w:bCs w:val="false"/>
        </w:rPr>
        <w:t>Management Consultants in Ireland</w:t>
      </w:r>
    </w:p>
    <w:p>
      <w:pPr>
        <w:numPr>
          <w:ilvl w:val="0"/>
          <w:numId w:val="30"/>
        </w:numPr>
        <w:spacing w:after="80" w:lineRule="auto" w:line="312"/>
      </w:pPr>
      <w:r>
        <w:rPr>
          <w:b w:val="false"/>
          <w:bCs w:val="false"/>
        </w:rPr>
        <w:t>Management Consulting in China</w:t>
      </w:r>
    </w:p>
    <w:p>
      <w:pPr>
        <w:numPr>
          <w:ilvl w:val="0"/>
          <w:numId w:val="31"/>
        </w:numPr>
        <w:spacing w:after="80" w:lineRule="auto" w:line="312"/>
      </w:pPr>
      <w:r>
        <w:rPr>
          <w:b w:val="false"/>
          <w:bCs w:val="false"/>
        </w:rPr>
        <w:t>Management Consulting in Mexico</w:t>
      </w:r>
    </w:p>
    <w:p>
      <w:pPr>
        <w:numPr>
          <w:ilvl w:val="0"/>
          <w:numId w:val="32"/>
        </w:numPr>
        <w:spacing w:after="80" w:lineRule="auto" w:line="312"/>
      </w:pPr>
      <w:r>
        <w:rPr>
          <w:b w:val="false"/>
          <w:bCs w:val="false"/>
        </w:rPr>
        <w:t>Global Management Consultants</w:t>
      </w:r>
      <w:r>
        <w:rPr/>
        <w:br w:type="page"/>
      </w:r>
    </w:p>
    <w:p>
      <w:pPr>
        <w:pStyle w:val="Heading2"/>
      </w:pPr>
      <w:bookmarkStart w:id="8" w:name="_Toc8"/>
      <w:r>
        <w:t>2. At a Glance</w:t>
      </w:r>
      <w:bookmarkEnd w:id="8"/>
    </w:p>
    <w:p>
      <w:pPr/>
      <w:hyperlink r:id="gemHypRid3">
        <w:r>
          <w:rPr>
            <w:color w:val="344054"/>
          </w:rPr>
          <w:t>https://my.ibisworld.com/no/en/industry/NO-M702/at-a-glance</w:t>
        </w:r>
      </w:hyperlink>
    </w:p>
    <w:p>
      <w:pPr>
        <w:pStyle w:val="Heading3"/>
      </w:pPr>
      <w:bookmarkStart w:id="9" w:name="_Toc9"/>
      <w:r>
        <w:t>Highlights</w:t>
      </w:r>
      <w:bookmarkEnd w:id="9"/>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€3.5bn</w:t>
            </w:r>
            <w:r>
              <w:br/>
            </w:r>
            <w:r>
              <w:rPr>
                <w:color w:val="000000"/>
                <w:sz w:val="16"/>
                <w:szCs w:val="16"/>
              </w:rPr>
              <w:t>’20-’25</w:t>
            </w:r>
            <w:r>
              <w:t xml:space="preserve">  </w:t>
            </w:r>
            <w:r>
              <w:rPr>
                <w:color w:val="12B76A"/>
                <w:sz w:val="16"/>
                <w:szCs w:val="16"/>
                <w:shd w:val="clear" w:fill="E6F8EE"/>
              </w:rPr>
              <w:t xml:space="preserve"> ↑ 0.9 %</w:t>
            </w:r>
            <w:r>
              <w:br/>
            </w:r>
            <w:r>
              <w:rPr>
                <w:color w:val="000000"/>
                <w:sz w:val="16"/>
                <w:szCs w:val="16"/>
              </w:rPr>
              <w:t>’25-’30</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16,785</w:t>
            </w:r>
            <w:r>
              <w:br/>
            </w:r>
            <w:r>
              <w:rPr>
                <w:color w:val="000000"/>
                <w:sz w:val="16"/>
                <w:szCs w:val="16"/>
              </w:rPr>
              <w:t>’20-’25</w:t>
            </w:r>
            <w:r>
              <w:t xml:space="preserve">  </w:t>
            </w:r>
            <w:r>
              <w:rPr>
                <w:color w:val="12B76A"/>
                <w:sz w:val="16"/>
                <w:szCs w:val="16"/>
                <w:shd w:val="clear" w:fill="E6F8EE"/>
              </w:rPr>
              <w:t xml:space="preserve"> ↑ 6.8 %</w:t>
            </w:r>
            <w:r>
              <w:br/>
            </w:r>
            <w:r>
              <w:rPr>
                <w:color w:val="000000"/>
                <w:sz w:val="16"/>
                <w:szCs w:val="16"/>
              </w:rPr>
              <w:t>’25-’30</w:t>
            </w:r>
            <w:r>
              <w:t xml:space="preserve">  </w:t>
            </w:r>
            <w:r>
              <w:rPr>
                <w:color w:val="12B76A"/>
                <w:sz w:val="16"/>
                <w:szCs w:val="16"/>
                <w:shd w:val="clear" w:fill="E6F8EE"/>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14,901</w:t>
            </w:r>
            <w:r>
              <w:br/>
            </w:r>
            <w:r>
              <w:rPr>
                <w:color w:val="000000"/>
                <w:sz w:val="16"/>
                <w:szCs w:val="16"/>
              </w:rPr>
              <w:t>’20-’25</w:t>
            </w:r>
            <w:r>
              <w:t xml:space="preserve">  </w:t>
            </w:r>
            <w:r>
              <w:rPr>
                <w:color w:val="12B76A"/>
                <w:sz w:val="16"/>
                <w:szCs w:val="16"/>
                <w:shd w:val="clear" w:fill="E6F8EE"/>
              </w:rPr>
              <w:t xml:space="preserve"> ↑ 3.4 %</w:t>
            </w:r>
            <w:r>
              <w:br/>
            </w:r>
            <w:r>
              <w:rPr>
                <w:color w:val="000000"/>
                <w:sz w:val="16"/>
                <w:szCs w:val="16"/>
              </w:rPr>
              <w:t>’25-’30</w:t>
            </w:r>
            <w:r>
              <w:t xml:space="preserve">  </w:t>
            </w:r>
            <w:r>
              <w:rPr>
                <w:color w:val="12B76A"/>
                <w:sz w:val="16"/>
                <w:szCs w:val="16"/>
                <w:shd w:val="clear" w:fill="E6F8EE"/>
              </w:rPr>
              <w:t xml:space="preserve"> ↑ 1.8 %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€857.3m</w:t>
            </w:r>
            <w:r>
              <w:br/>
            </w:r>
            <w:r>
              <w:rPr>
                <w:color w:val="000000"/>
                <w:sz w:val="16"/>
                <w:szCs w:val="16"/>
              </w:rPr>
              <w:t>’20-’25</w:t>
            </w:r>
            <w:r>
              <w:t xml:space="preserve">  </w:t>
            </w:r>
            <w:r>
              <w:rPr>
                <w:color w:val="12B76A"/>
                <w:sz w:val="16"/>
                <w:szCs w:val="16"/>
                <w:shd w:val="clear" w:fill="E6F8EE"/>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24.3%</w:t>
            </w:r>
            <w:r>
              <w:br/>
            </w:r>
            <w:r>
              <w:rPr>
                <w:color w:val="000000"/>
                <w:sz w:val="16"/>
                <w:szCs w:val="16"/>
              </w:rPr>
              <w:t>’20-’25</w:t>
            </w:r>
            <w:r>
              <w:t xml:space="preserve">  </w:t>
            </w:r>
            <w:r>
              <w:rPr>
                <w:color w:val="F54D41"/>
                <w:sz w:val="16"/>
                <w:szCs w:val="16"/>
                <w:shd w:val="clear" w:fill="FEE4E2"/>
              </w:rPr>
              <w:t xml:space="preserve"> ↓ 0.0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€1.1bn</w:t>
            </w:r>
            <w:r>
              <w:br/>
            </w:r>
            <w:r>
              <w:rPr>
                <w:color w:val="000000"/>
                <w:sz w:val="16"/>
                <w:szCs w:val="16"/>
              </w:rPr>
              <w:t>’20-’25</w:t>
            </w:r>
            <w:r>
              <w:t xml:space="preserve">  </w:t>
            </w:r>
            <w:r>
              <w:rPr>
                <w:color w:val="F54D41"/>
                <w:sz w:val="16"/>
                <w:szCs w:val="16"/>
                <w:shd w:val="clear" w:fill="FEE4E2"/>
              </w:rPr>
              <w:t xml:space="preserve"> ↓ 1.0 %</w:t>
            </w:r>
            <w:r>
              <w:br/>
            </w:r>
            <w:r>
              <w:rPr>
                <w:color w:val="000000"/>
                <w:sz w:val="16"/>
                <w:szCs w:val="16"/>
              </w:rPr>
              <w:t>’25-’30</w:t>
            </w:r>
            <w:r>
              <w:t xml:space="preserve">  </w:t>
            </w:r>
            <w:r>
              <w:rPr>
                <w:color w:val="12B76A"/>
                <w:sz w:val="16"/>
                <w:szCs w:val="16"/>
                <w:shd w:val="clear" w:fill="E6F8EE"/>
              </w:rPr>
              <w:t xml:space="preserve"> ↑ 0.3 %</w:t>
            </w:r>
          </w:p>
        </w:tc>
      </w:tr>
    </w:tbl>
    <w:p>
      <w:pPr/>
      <w:r>
        <w:rPr/>
        <w:br w:type="page"/>
      </w:r>
    </w:p>
    <w:p>
      <w:pPr>
        <w:pStyle w:val="Heading3"/>
      </w:pPr>
      <w:bookmarkStart w:id="10" w:name="_Toc10"/>
      <w:r>
        <w:t>Country Benchmarking</w:t>
      </w:r>
      <w:bookmarkEnd w:id="10"/>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4"/>
                    <a:stretch>
                      <a:fillRect/>
                    </a:stretch>
                  </pic:blipFill>
                  <pic:spPr>
                    <a:xfrm>
                      <a:off x="0" y="0"/>
                      <a:ext cx="6477000" cy="4953000"/>
                    </a:xfrm>
                    <a:prstGeom prst="rect">
                      <a:avLst/>
                    </a:prstGeom>
                  </pic:spPr>
                </pic:pic>
              </a:graphicData>
            </a:graphic>
          </wp:inline>
        </w:drawing>
      </w:r>
    </w:p>
    <w:p>
      <w:pPr/>
      <w:r>
        <w:rPr>
          <w:color w:val="0C1C31"/>
          <w:sz w:val="34"/>
          <w:szCs w:val="34"/>
        </w:rPr>
        <w:t>Industry Data Norway</w:t>
      </w:r>
    </w:p>
    <w:p>
      <w:pPr/>
      <w:r>
        <w:t>Industry Data Norway</w:t>
      </w:r>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w:t>
            </w:r>
            <w:r>
              <w:br/>
            </w:r>
            <w:r>
              <w:rPr>
                <w:color w:val="000000"/>
                <w:sz w:val="16"/>
                <w:szCs w:val="16"/>
              </w:rPr>
              <w:t>In Europe</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w:t>
            </w:r>
            <w:r>
              <w:br/>
            </w:r>
            <w:r>
              <w:rPr>
                <w:b/>
                <w:bCs/>
                <w:color w:val="000000"/>
                <w:sz w:val="32"/>
                <w:szCs w:val="32"/>
              </w:rPr>
              <w:t>#21</w:t>
            </w:r>
            <w:r>
              <w:br/>
            </w:r>
            <w:r>
              <w:rPr>
                <w:color w:val="000000"/>
                <w:sz w:val="16"/>
                <w:szCs w:val="16"/>
              </w:rPr>
              <w:t>In Europe</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#23</w:t>
            </w:r>
            <w:r>
              <w:br/>
            </w:r>
            <w:r>
              <w:rPr>
                <w:color w:val="000000"/>
                <w:sz w:val="16"/>
                <w:szCs w:val="16"/>
              </w:rPr>
              <w:t>In Europe</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#16</w:t>
            </w:r>
            <w:r>
              <w:br/>
            </w:r>
            <w:r>
              <w:rPr>
                <w:color w:val="000000"/>
                <w:sz w:val="16"/>
                <w:szCs w:val="16"/>
              </w:rPr>
              <w:t>In Europe</w:t>
            </w:r>
          </w:p>
        </w:tc>
        <w:tc>
          <w:tcPr>
            <w:cnfStyle w:val="000000000000"/>
            <w:shd w:val="clear" w:fill="auto"/>
            <w:tcMar>
              <w:top w:w="111" w:type="dxa"/>
              <w:left w:w="142" w:type="dxa"/>
              <w:bottom w:w="111" w:type="dxa"/>
              <w:right w:w="142" w:type="dxa"/>
            </w:tcMar>
          </w:tcPr>
          <w:p>
            <w:pPr>
              <w:cnfStyle w:val="000000000000"/>
              <w:spacing w:lineRule="auto" w:line="312"/>
            </w:pPr>
          </w:p>
        </w:tc>
        <w:tc>
          <w:tcPr>
            <w:cnfStyle w:val="000000000000"/>
            <w:shd w:val="clear" w:fill="auto"/>
            <w:tcMar>
              <w:top w:w="111" w:type="dxa"/>
              <w:left w:w="142" w:type="dxa"/>
              <w:bottom w:w="111" w:type="dxa"/>
              <w:right w:w="142" w:type="dxa"/>
            </w:tcMar>
          </w:tcPr>
          <w:p>
            <w:pPr>
              <w:cnfStyle w:val="000000000000"/>
              <w:spacing w:lineRule="auto" w:line="312"/>
            </w:pPr>
          </w:p>
        </w:tc>
      </w:tr>
    </w:tbl>
    <w:p>
      <w:pPr/>
      <w:r>
        <w:rPr/>
        <w:br w:type="page"/>
      </w:r>
    </w:p>
    <w:p>
      <w:pPr>
        <w:pStyle w:val="Heading3"/>
      </w:pPr>
      <w:bookmarkStart w:id="11" w:name="_Toc11"/>
      <w:r>
        <w:t>Products and Services</w:t>
      </w:r>
      <w:bookmarkEnd w:id="11"/>
    </w:p>
    <w:p>
      <w:pPr>
        <w:numPr>
          <w:ilvl w:val="0"/>
          <w:numId w:val="33"/>
        </w:numPr>
        <w:spacing w:after="80" w:lineRule="auto" w:line="312"/>
      </w:pPr>
      <w:r>
        <w:rPr>
          <w:b w:val="false"/>
          <w:bCs w:val="false"/>
        </w:rPr>
        <w:t>IT strategy</w:t>
      </w:r>
    </w:p>
    <w:p>
      <w:pPr>
        <w:numPr>
          <w:ilvl w:val="0"/>
          <w:numId w:val="34"/>
        </w:numPr>
        <w:spacing w:after="80" w:lineRule="auto" w:line="312"/>
      </w:pPr>
      <w:r>
        <w:rPr>
          <w:b w:val="false"/>
          <w:bCs w:val="false"/>
        </w:rPr>
        <w:t>Corporate strategy</w:t>
      </w:r>
    </w:p>
    <w:p>
      <w:pPr>
        <w:numPr>
          <w:ilvl w:val="0"/>
          <w:numId w:val="35"/>
        </w:numPr>
        <w:spacing w:after="80" w:lineRule="auto" w:line="312"/>
      </w:pPr>
      <w:r>
        <w:rPr>
          <w:b w:val="false"/>
          <w:bCs w:val="false"/>
        </w:rPr>
        <w:t>Process and operations management</w:t>
      </w:r>
    </w:p>
    <w:p>
      <w:pPr>
        <w:numPr>
          <w:ilvl w:val="0"/>
          <w:numId w:val="36"/>
        </w:numPr>
        <w:spacing w:after="80" w:lineRule="auto" w:line="312"/>
      </w:pPr>
      <w:r>
        <w:rPr>
          <w:b w:val="false"/>
          <w:bCs w:val="false"/>
        </w:rPr>
        <w:t>Programme or project management</w:t>
      </w:r>
    </w:p>
    <w:p>
      <w:pPr>
        <w:numPr>
          <w:ilvl w:val="0"/>
          <w:numId w:val="37"/>
        </w:numPr>
        <w:spacing w:after="80" w:lineRule="auto" w:line="312"/>
      </w:pPr>
      <w:r>
        <w:rPr>
          <w:b w:val="false"/>
          <w:bCs w:val="false"/>
        </w:rPr>
        <w:t>Risk management</w:t>
      </w:r>
    </w:p>
    <w:p>
      <w:pPr>
        <w:numPr>
          <w:ilvl w:val="0"/>
          <w:numId w:val="38"/>
        </w:numPr>
        <w:spacing w:after="80" w:lineRule="auto" w:line="312"/>
      </w:pPr>
      <w:r>
        <w:rPr>
          <w:b w:val="false"/>
          <w:bCs w:val="false"/>
        </w:rPr>
        <w:t>Human capital</w:t>
      </w:r>
    </w:p>
    <w:p>
      <w:pPr>
        <w:numPr>
          <w:ilvl w:val="0"/>
          <w:numId w:val="39"/>
        </w:numPr>
        <w:spacing w:after="80" w:lineRule="auto" w:line="312"/>
      </w:pPr>
      <w:r>
        <w:rPr>
          <w:b w:val="false"/>
          <w:bCs w:val="false"/>
        </w:rPr>
        <w:t>Other services</w:t>
      </w:r>
    </w:p>
    <w:p>
      <w:pPr>
        <w:pStyle w:val="Heading3"/>
      </w:pPr>
      <w:bookmarkStart w:id="12" w:name="_Toc12"/>
      <w:r>
        <w:t>Major Players</w:t>
      </w:r>
      <w:bookmarkEnd w:id="12"/>
    </w:p>
    <w:p>
      <w:pPr>
        <w:numPr>
          <w:ilvl w:val="0"/>
          <w:numId w:val="40"/>
        </w:numPr>
        <w:spacing w:after="80" w:lineRule="auto" w:line="312"/>
      </w:pPr>
      <w:r>
        <w:rPr>
          <w:b w:val="false"/>
          <w:bCs w:val="false"/>
        </w:rPr>
        <w:t>Accenture plc</w:t>
      </w:r>
    </w:p>
    <w:p>
      <w:pPr>
        <w:numPr>
          <w:ilvl w:val="0"/>
          <w:numId w:val="41"/>
        </w:numPr>
        <w:spacing w:after="80" w:lineRule="auto" w:line="312"/>
      </w:pPr>
      <w:r>
        <w:rPr>
          <w:b w:val="false"/>
          <w:bCs w:val="false"/>
        </w:rPr>
        <w:t>McKinsey &amp; Company Inc</w:t>
      </w:r>
    </w:p>
    <w:p>
      <w:pPr>
        <w:numPr>
          <w:ilvl w:val="0"/>
          <w:numId w:val="42"/>
        </w:numPr>
        <w:spacing w:after="80" w:lineRule="auto" w:line="312"/>
      </w:pPr>
      <w:r>
        <w:rPr>
          <w:b w:val="false"/>
          <w:bCs w:val="false"/>
        </w:rPr>
        <w:t>Other Companies</w:t>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Business sentiment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Number of enterprises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public expenditure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Degree of digitalisation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Decreasing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Decreasing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r>
        <w:rPr/>
        <w:br w:type="page"/>
      </w:r>
    </w:p>
    <w:p>
      <w:pPr>
        <w:pStyle w:val="Heading2"/>
      </w:pPr>
      <w:bookmarkStart w:id="15" w:name="_Toc15"/>
      <w:r>
        <w:t>3. Performance</w:t>
      </w:r>
      <w:bookmarkEnd w:id="15"/>
    </w:p>
    <w:p>
      <w:pPr/>
      <w:hyperlink r:id="gemHypRid5">
        <w:r>
          <w:rPr>
            <w:color w:val="344054"/>
          </w:rPr>
          <w:t>https://my.ibisworld.com/no/en/industry/NO-M702/performance</w:t>
        </w:r>
      </w:hyperlink>
    </w:p>
    <w:p>
      <w:pPr>
        <w:pStyle w:val="Heading3"/>
      </w:pPr>
      <w:bookmarkStart w:id="16" w:name="_Toc16"/>
      <w:r>
        <w:t>Performance Snapshot</w:t>
      </w:r>
      <w:bookmarkEnd w:id="16"/>
    </w:p>
    <w:p>
      <w:pPr>
        <w:pStyle w:val="Heading4"/>
      </w:pPr>
      <w:r>
        <w:t>Revenue:</w:t>
      </w:r>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€3.5bn</w:t>
            </w:r>
            <w:r>
              <w:br/>
            </w:r>
            <w:r>
              <w:rPr>
                <w:color w:val="000000"/>
                <w:sz w:val="16"/>
                <w:szCs w:val="16"/>
              </w:rPr>
              <w:t>’20-’25</w:t>
            </w:r>
            <w:r>
              <w:t xml:space="preserve">  </w:t>
            </w:r>
            <w:r>
              <w:rPr>
                <w:color w:val="12B76A"/>
                <w:sz w:val="16"/>
                <w:szCs w:val="16"/>
                <w:shd w:val="clear" w:fill="E6F8EE"/>
              </w:rPr>
              <w:t xml:space="preserve"> ↑ 0.9 %</w:t>
            </w:r>
            <w:r>
              <w:br/>
            </w:r>
            <w:r>
              <w:rPr>
                <w:color w:val="000000"/>
                <w:sz w:val="16"/>
                <w:szCs w:val="16"/>
              </w:rPr>
              <w:t>’25-’30</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2025 Revenue Growth</w:t>
            </w:r>
            <w:r>
              <w:br/>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6"/>
                    <a:stretch>
                      <a:fillRect/>
                    </a:stretch>
                  </pic:blipFill>
                  <pic:spPr>
                    <a:xfrm>
                      <a:off x="0" y="0"/>
                      <a:ext cx="6353175" cy="4133850"/>
                    </a:xfrm>
                    <a:prstGeom prst="rect">
                      <a:avLst/>
                    </a:prstGeom>
                  </pic:spPr>
                </pic:pic>
              </a:graphicData>
            </a:graphic>
          </wp:inline>
        </w:drawing>
      </w:r>
    </w:p>
    <w:p>
      <w:pPr>
        <w:pStyle w:val="Heading4"/>
      </w:pPr>
      <w:r>
        <w:t>How does Norway's performance compare to Europe?</w:t>
      </w:r>
    </w:p>
    <w:p>
      <w:pPr>
        <w:numPr>
          <w:ilvl w:val="0"/>
          <w:numId w:val="43"/>
        </w:numPr>
        <w:spacing w:after="80" w:lineRule="auto" w:line="312"/>
      </w:pPr>
      <w:r>
        <w:rPr>
          <w:b w:val="false"/>
          <w:bCs w:val="false"/>
        </w:rPr>
        <w:t>The industry in Norway is forecast to generate revenue of €3.5bn in 2025, up 2.2% on the year.</w:t>
      </w:r>
    </w:p>
    <w:p>
      <w:pPr>
        <w:numPr>
          <w:ilvl w:val="0"/>
          <w:numId w:val="44"/>
        </w:numPr>
        <w:spacing w:after="80" w:lineRule="auto" w:line="312"/>
      </w:pPr>
      <w:r>
        <w:rPr>
          <w:b w:val="false"/>
          <w:bCs w:val="false"/>
        </w:rPr>
        <w:t>This equals a 0.7% to total European revenue of €487.4bn, representing the 22nd largest share.</w:t>
      </w:r>
    </w:p>
    <w:p>
      <w:pPr>
        <w:numPr>
          <w:ilvl w:val="0"/>
          <w:numId w:val="45"/>
        </w:numPr>
        <w:spacing w:after="80" w:lineRule="auto" w:line="312"/>
      </w:pPr>
      <w:r>
        <w:rPr>
          <w:b w:val="false"/>
          <w:bCs w:val="false"/>
        </w:rPr>
        <w:t>By €1.2bn, Norway underperforms the European median revenue of €4.7bn.</w:t>
      </w:r>
    </w:p>
    <w:p>
      <w:pPr>
        <w:numPr>
          <w:ilvl w:val="0"/>
          <w:numId w:val="46"/>
        </w:numPr>
        <w:spacing w:after="80" w:lineRule="auto" w:line="312"/>
      </w:pPr>
      <w:r>
        <w:rPr>
          <w:b w:val="false"/>
          <w:bCs w:val="false"/>
        </w:rPr>
        <w:t>At a difference of €1.4bn, Czechia is Norway's closest rival, where the former's revenue of €2.2bn underperforms the latter.</w:t>
      </w:r>
    </w:p>
    <w:p>
      <w:pPr>
        <w:numPr>
          <w:ilvl w:val="0"/>
          <w:numId w:val="47"/>
        </w:numPr>
        <w:spacing w:after="80" w:lineRule="auto" w:line="312"/>
      </w:pPr>
      <w:r>
        <w:rPr>
          <w:b w:val="false"/>
          <w:bCs w:val="false"/>
        </w:rPr>
        <w:t>Since 2011, and implying a Low level of volatility, Norway has had an average annual revenue change of 2.2%, most comparable to Poland (2%) and contrasting most to Turkey (17%).</w:t>
      </w:r>
      <w:r>
        <w:rPr/>
        <w:br w:type="page"/>
      </w:r>
    </w:p>
    <w:p>
      <w:pPr>
        <w:pStyle w:val="Heading4"/>
      </w:pPr>
      <w:r>
        <w:t>Employees:</w:t>
      </w:r>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16,785</w:t>
            </w:r>
            <w:r>
              <w:br/>
            </w:r>
            <w:r>
              <w:rPr>
                <w:color w:val="000000"/>
                <w:sz w:val="16"/>
                <w:szCs w:val="16"/>
              </w:rPr>
              <w:t>’20-’25</w:t>
            </w:r>
            <w:r>
              <w:t xml:space="preserve">  </w:t>
            </w:r>
            <w:r>
              <w:rPr>
                <w:color w:val="12B76A"/>
                <w:sz w:val="16"/>
                <w:szCs w:val="16"/>
                <w:shd w:val="clear" w:fill="E6F8EE"/>
              </w:rPr>
              <w:t xml:space="preserve"> ↑ 6.8 %</w:t>
            </w:r>
            <w:r>
              <w:br/>
            </w:r>
            <w:r>
              <w:rPr>
                <w:color w:val="000000"/>
                <w:sz w:val="16"/>
                <w:szCs w:val="16"/>
              </w:rPr>
              <w:t>’25-’30</w:t>
            </w:r>
            <w:r>
              <w:t xml:space="preserve">  </w:t>
            </w:r>
            <w:r>
              <w:rPr>
                <w:color w:val="12B76A"/>
                <w:sz w:val="16"/>
                <w:szCs w:val="16"/>
                <w:shd w:val="clear" w:fill="E6F8EE"/>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w:t>
            </w:r>
            <w:r>
              <w:br/>
            </w:r>
            <w:r>
              <w:rPr>
                <w:color w:val="000000"/>
                <w:sz w:val="16"/>
                <w:szCs w:val="16"/>
              </w:rPr>
              <w:t>’20-’25</w:t>
            </w:r>
            <w:r>
              <w:t xml:space="preserve">  </w:t>
            </w:r>
            <w:r>
              <w:rPr>
                <w:color w:val="12B76A"/>
                <w:sz w:val="16"/>
                <w:szCs w:val="16"/>
                <w:shd w:val="clear" w:fill="E6F8EE"/>
              </w:rPr>
              <w:t xml:space="preserve"> ↑ 3.4 %</w:t>
            </w:r>
            <w:r>
              <w:br/>
            </w:r>
            <w:r>
              <w:rPr>
                <w:color w:val="000000"/>
                <w:sz w:val="16"/>
                <w:szCs w:val="16"/>
              </w:rPr>
              <w:t>’25-’30</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€210k</w:t>
            </w:r>
            <w:r>
              <w:br/>
            </w:r>
            <w:r>
              <w:rPr>
                <w:color w:val="000000"/>
                <w:sz w:val="16"/>
                <w:szCs w:val="16"/>
              </w:rPr>
              <w:t>’20-’25</w:t>
            </w:r>
            <w:r>
              <w:t xml:space="preserve">  </w:t>
            </w:r>
            <w:r>
              <w:rPr>
                <w:color w:val="F54D41"/>
                <w:sz w:val="16"/>
                <w:szCs w:val="16"/>
                <w:shd w:val="clear" w:fill="FEE4E2"/>
              </w:rPr>
              <w:t xml:space="preserve"> ↓ 5.5 %</w:t>
            </w:r>
            <w:r>
              <w:br/>
            </w:r>
            <w:r>
              <w:rPr>
                <w:color w:val="000000"/>
                <w:sz w:val="16"/>
                <w:szCs w:val="16"/>
              </w:rPr>
              <w:t>’25-’30</w:t>
            </w:r>
            <w:r>
              <w:t xml:space="preserve">  </w:t>
            </w:r>
            <w:r>
              <w:rPr>
                <w:color w:val="F54D41"/>
                <w:sz w:val="16"/>
                <w:szCs w:val="16"/>
                <w:shd w:val="clear" w:fill="FEE4E2"/>
              </w:rPr>
              <w:t xml:space="preserve"> ↓ 1.0 %</w:t>
            </w:r>
          </w:p>
        </w:tc>
      </w:tr>
    </w:tbl>
    <w:p>
      <w:pPr/>
      <w:r>
        <w:drawing>
          <wp:inline>
            <wp:extent cx="6353175" cy="413385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7"/>
                    <a:stretch>
                      <a:fillRect/>
                    </a:stretch>
                  </pic:blipFill>
                  <pic:spPr>
                    <a:xfrm>
                      <a:off x="0" y="0"/>
                      <a:ext cx="6353175" cy="4133850"/>
                    </a:xfrm>
                    <a:prstGeom prst="rect">
                      <a:avLst/>
                    </a:prstGeom>
                  </pic:spPr>
                </pic:pic>
              </a:graphicData>
            </a:graphic>
          </wp:inline>
        </w:drawing>
      </w:r>
    </w:p>
    <w:p>
      <w:pPr>
        <w:pStyle w:val="Heading4"/>
      </w:pPr>
      <w:r>
        <w:t>How does Norway's performance compare to Europe?</w:t>
      </w:r>
    </w:p>
    <w:p>
      <w:pPr>
        <w:numPr>
          <w:ilvl w:val="0"/>
          <w:numId w:val="48"/>
        </w:numPr>
        <w:spacing w:after="80" w:lineRule="auto" w:line="312"/>
      </w:pPr>
      <w:r>
        <w:rPr>
          <w:b w:val="false"/>
          <w:bCs w:val="false"/>
        </w:rPr>
        <w:t>The industry in Norway is forecast to have 16,785 employees in 2025, up 1.6% on the year.</w:t>
      </w:r>
    </w:p>
    <w:p>
      <w:pPr>
        <w:numPr>
          <w:ilvl w:val="0"/>
          <w:numId w:val="49"/>
        </w:numPr>
        <w:spacing w:after="80" w:lineRule="auto" w:line="312"/>
      </w:pPr>
      <w:r>
        <w:rPr>
          <w:b w:val="false"/>
          <w:bCs w:val="false"/>
        </w:rPr>
        <w:t>This equals 0.7% of the 3m people employed across European, making Norway the 23rd largest employer.</w:t>
      </w:r>
    </w:p>
    <w:p>
      <w:pPr>
        <w:numPr>
          <w:ilvl w:val="0"/>
          <w:numId w:val="50"/>
        </w:numPr>
        <w:spacing w:after="80" w:lineRule="auto" w:line="312"/>
      </w:pPr>
      <w:r>
        <w:rPr>
          <w:b w:val="false"/>
          <w:bCs w:val="false"/>
        </w:rPr>
        <w:t>By a difference of 7,899 people, Norway employes less people than the European median of 3m.</w:t>
      </w:r>
    </w:p>
    <w:p>
      <w:pPr>
        <w:numPr>
          <w:ilvl w:val="0"/>
          <w:numId w:val="51"/>
        </w:numPr>
        <w:spacing w:after="80" w:lineRule="auto" w:line="312"/>
      </w:pPr>
      <w:r>
        <w:rPr>
          <w:b w:val="false"/>
          <w:bCs w:val="false"/>
        </w:rPr>
        <w:t>The size of the industry in Norway with regards to the number of people employed, is closed aligned with Czechia, where 12,153 people are employed - a difference of 4,632 people.</w:t>
      </w:r>
      <w:r>
        <w:rPr/>
        <w:br w:type="page"/>
      </w:r>
    </w:p>
    <w:p>
      <w:pPr>
        <w:pStyle w:val="Heading4"/>
      </w:pPr>
      <w:r>
        <w:t>Businesses:</w:t>
      </w:r>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14,901</w:t>
            </w:r>
            <w:r>
              <w:br/>
            </w:r>
            <w:r>
              <w:rPr>
                <w:color w:val="000000"/>
                <w:sz w:val="16"/>
                <w:szCs w:val="16"/>
              </w:rPr>
              <w:t>’20-’25</w:t>
            </w:r>
            <w:r>
              <w:t xml:space="preserve">  </w:t>
            </w:r>
            <w:r>
              <w:rPr>
                <w:color w:val="12B76A"/>
                <w:sz w:val="16"/>
                <w:szCs w:val="16"/>
                <w:shd w:val="clear" w:fill="E6F8EE"/>
              </w:rPr>
              <w:t xml:space="preserve"> ↑ 3.4 %</w:t>
            </w:r>
            <w:r>
              <w:br/>
            </w:r>
            <w:r>
              <w:rPr>
                <w:color w:val="000000"/>
                <w:sz w:val="16"/>
                <w:szCs w:val="16"/>
              </w:rPr>
              <w:t>’25-’30</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w:t>
            </w:r>
            <w:r>
              <w:br/>
            </w:r>
            <w:r>
              <w:rPr>
                <w:color w:val="000000"/>
                <w:sz w:val="16"/>
                <w:szCs w:val="16"/>
              </w:rPr>
              <w:t>’20-’25</w:t>
            </w:r>
            <w:r>
              <w:t xml:space="preserve">  </w:t>
            </w:r>
            <w:r>
              <w:rPr>
                <w:color w:val="12B76A"/>
                <w:sz w:val="16"/>
                <w:szCs w:val="16"/>
                <w:shd w:val="clear" w:fill="E6F8EE"/>
              </w:rPr>
              <w:t xml:space="preserve"> ↑ 3.4 %</w:t>
            </w:r>
            <w:r>
              <w:br/>
            </w:r>
            <w:r>
              <w:rPr>
                <w:color w:val="000000"/>
                <w:sz w:val="16"/>
                <w:szCs w:val="16"/>
              </w:rPr>
              <w:t>’25-’30</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€236.9k</w:t>
            </w:r>
            <w:r>
              <w:br/>
            </w:r>
            <w:r>
              <w:rPr>
                <w:color w:val="000000"/>
                <w:sz w:val="16"/>
                <w:szCs w:val="16"/>
              </w:rPr>
              <w:t>’20-’25</w:t>
            </w:r>
            <w:r>
              <w:t xml:space="preserve">  </w:t>
            </w:r>
            <w:r>
              <w:rPr>
                <w:color w:val="F54D41"/>
                <w:sz w:val="16"/>
                <w:szCs w:val="16"/>
                <w:shd w:val="clear" w:fill="FEE4E2"/>
              </w:rPr>
              <w:t xml:space="preserve"> ↓ 2.3 %</w:t>
            </w:r>
            <w:r>
              <w:br/>
            </w:r>
            <w:r>
              <w:rPr>
                <w:color w:val="000000"/>
                <w:sz w:val="16"/>
                <w:szCs w:val="16"/>
              </w:rPr>
              <w:t>’25-’30</w:t>
            </w:r>
            <w:r>
              <w:t xml:space="preserve">  </w:t>
            </w:r>
            <w:r>
              <w:rPr>
                <w:color w:val="F54D41"/>
                <w:sz w:val="16"/>
                <w:szCs w:val="16"/>
                <w:shd w:val="clear" w:fill="FEE4E2"/>
              </w:rPr>
              <w:t xml:space="preserve"> ↓ 0.3 %</w:t>
            </w:r>
          </w:p>
        </w:tc>
      </w:tr>
    </w:tbl>
    <w:p>
      <w:pPr/>
      <w:r>
        <w:drawing>
          <wp:inline>
            <wp:extent cx="6353175" cy="413385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8"/>
                    <a:stretch>
                      <a:fillRect/>
                    </a:stretch>
                  </pic:blipFill>
                  <pic:spPr>
                    <a:xfrm>
                      <a:off x="0" y="0"/>
                      <a:ext cx="6353175" cy="4133850"/>
                    </a:xfrm>
                    <a:prstGeom prst="rect">
                      <a:avLst/>
                    </a:prstGeom>
                  </pic:spPr>
                </pic:pic>
              </a:graphicData>
            </a:graphic>
          </wp:inline>
        </w:drawing>
      </w:r>
    </w:p>
    <w:p>
      <w:pPr>
        <w:pStyle w:val="Heading4"/>
      </w:pPr>
      <w:r>
        <w:t>How does Norway's performance compare to Europe?</w:t>
      </w:r>
    </w:p>
    <w:p>
      <w:pPr>
        <w:numPr>
          <w:ilvl w:val="0"/>
          <w:numId w:val="52"/>
        </w:numPr>
        <w:spacing w:after="80" w:lineRule="auto" w:line="312"/>
      </w:pPr>
      <w:r>
        <w:rPr>
          <w:b w:val="false"/>
          <w:bCs w:val="false"/>
        </w:rPr>
        <w:t>In 2025, there are estimated to be 14,901 businesses in the industry in Norway, up 2% compared to the year prior.</w:t>
      </w:r>
    </w:p>
    <w:p>
      <w:pPr>
        <w:numPr>
          <w:ilvl w:val="0"/>
          <w:numId w:val="53"/>
        </w:numPr>
        <w:spacing w:after="80" w:lineRule="auto" w:line="312"/>
      </w:pPr>
      <w:r>
        <w:rPr>
          <w:b w:val="false"/>
          <w:bCs w:val="false"/>
        </w:rPr>
        <w:t>Of the 1.6m industry-related businesses across Europe, Norway accounts for 0.9% of them, making the nation the 21st largest industry across the continent, by number of firms.</w:t>
      </w:r>
    </w:p>
    <w:p>
      <w:pPr>
        <w:numPr>
          <w:ilvl w:val="0"/>
          <w:numId w:val="54"/>
        </w:numPr>
        <w:spacing w:after="80" w:lineRule="auto" w:line="312"/>
      </w:pPr>
      <w:r>
        <w:rPr>
          <w:b w:val="false"/>
          <w:bCs w:val="false"/>
        </w:rPr>
        <w:t>Norway sits 3,028 businesses above the European median of 17,928 firms.</w:t>
      </w:r>
    </w:p>
    <w:p>
      <w:pPr>
        <w:numPr>
          <w:ilvl w:val="0"/>
          <w:numId w:val="55"/>
        </w:numPr>
        <w:spacing w:after="80" w:lineRule="auto" w:line="312"/>
      </w:pPr>
      <w:r>
        <w:rPr>
          <w:b w:val="false"/>
          <w:bCs w:val="false"/>
        </w:rPr>
        <w:t>There are 139 more industry enterprises in Norway compared to Ireland - the nation with the most comparable business demography and home to 14,761 firms.</w:t>
      </w:r>
      <w:r>
        <w:rPr/>
        <w:br w:type="page"/>
      </w:r>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€857.3m</w:t>
            </w:r>
            <w:r>
              <w:br/>
            </w:r>
            <w:r>
              <w:rPr>
                <w:color w:val="000000"/>
                <w:sz w:val="16"/>
                <w:szCs w:val="16"/>
              </w:rPr>
              <w:t>’20-’25</w:t>
            </w:r>
            <w:r>
              <w:t xml:space="preserve">  </w:t>
            </w:r>
            <w:r>
              <w:rPr>
                <w:color w:val="12B76A"/>
                <w:sz w:val="16"/>
                <w:szCs w:val="16"/>
                <w:shd w:val="clear" w:fill="E6F8EE"/>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24.3%</w:t>
            </w:r>
            <w:r>
              <w:br/>
            </w:r>
            <w:r>
              <w:rPr>
                <w:color w:val="000000"/>
                <w:sz w:val="16"/>
                <w:szCs w:val="16"/>
              </w:rPr>
              <w:t>’20-’25</w:t>
            </w:r>
            <w:r>
              <w:t xml:space="preserve">  </w:t>
            </w:r>
            <w:r>
              <w:rPr>
                <w:color w:val="F54D41"/>
                <w:sz w:val="16"/>
                <w:szCs w:val="16"/>
                <w:shd w:val="clear" w:fill="FEE4E2"/>
              </w:rPr>
              <w:t xml:space="preserve"> ↓ 0.0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€156.3k</w:t>
            </w:r>
          </w:p>
        </w:tc>
      </w:tr>
    </w:tbl>
    <w:p>
      <w:pPr/>
      <w:r>
        <w:drawing>
          <wp:inline>
            <wp:extent cx="6353175" cy="413385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9"/>
                    <a:stretch>
                      <a:fillRect/>
                    </a:stretch>
                  </pic:blipFill>
                  <pic:spPr>
                    <a:xfrm>
                      <a:off x="0" y="0"/>
                      <a:ext cx="6353175" cy="4133850"/>
                    </a:xfrm>
                    <a:prstGeom prst="rect">
                      <a:avLst/>
                    </a:prstGeom>
                  </pic:spPr>
                </pic:pic>
              </a:graphicData>
            </a:graphic>
          </wp:inline>
        </w:drawing>
      </w:r>
    </w:p>
    <w:p>
      <w:pPr>
        <w:pStyle w:val="Heading4"/>
      </w:pPr>
      <w:r>
        <w:t>How does Norway's performance compare to Europe?</w:t>
      </w:r>
    </w:p>
    <w:p>
      <w:pPr>
        <w:numPr>
          <w:ilvl w:val="0"/>
          <w:numId w:val="56"/>
        </w:numPr>
        <w:spacing w:after="80" w:lineRule="auto" w:line="312"/>
      </w:pPr>
      <w:r>
        <w:rPr>
          <w:b w:val="false"/>
          <w:bCs w:val="false"/>
        </w:rPr>
        <w:t>The average profit margin in Norway is estimated to rise 0.1 percentage points in 2025, to 24.3%.</w:t>
      </w:r>
    </w:p>
    <w:p>
      <w:pPr>
        <w:numPr>
          <w:ilvl w:val="0"/>
          <w:numId w:val="57"/>
        </w:numPr>
        <w:spacing w:after="80" w:lineRule="auto" w:line="312"/>
      </w:pPr>
      <w:r>
        <w:rPr>
          <w:b w:val="false"/>
          <w:bCs w:val="false"/>
        </w:rPr>
        <w:t>Compared to European counterparts, Norway's operating margin ranks 12th.</w:t>
      </w:r>
    </w:p>
    <w:p>
      <w:pPr>
        <w:numPr>
          <w:ilvl w:val="0"/>
          <w:numId w:val="58"/>
        </w:numPr>
        <w:spacing w:after="80" w:lineRule="auto" w:line="312"/>
      </w:pPr>
      <w:r>
        <w:rPr>
          <w:b w:val="false"/>
          <w:bCs w:val="false"/>
        </w:rPr>
        <w:t>The median profit margin across the continent is 19.6%, meaning Norway is outperforming half of Europe by a gap of 4.7 percentage points.</w:t>
      </w:r>
    </w:p>
    <w:p>
      <w:pPr>
        <w:numPr>
          <w:ilvl w:val="0"/>
          <w:numId w:val="59"/>
        </w:numPr>
        <w:spacing w:after="80" w:lineRule="auto" w:line="312"/>
      </w:pPr>
      <w:r>
        <w:rPr>
          <w:b w:val="false"/>
          <w:bCs w:val="false"/>
        </w:rPr>
        <w:t>There is a 0.0 percentage point difference between Norway and its closest rival in terms of profitability - Latvia in forecast to post an inferior margin of 24.3%.</w:t>
      </w:r>
      <w:r>
        <w:rPr/>
        <w:br w:type="page"/>
      </w:r>
    </w:p>
    <w:p>
      <w:pPr/>
      <w:r>
        <mc:AlternateContent>
          <mc:Choice Requires="wps">
            <w:drawing>
              <wp:inline>
                <wp:extent cx="6645910" cy="762000"/>
                <wp:docPr id="16" name="Text Box 16"/>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17" name="Picture 17"/>
                                        <a:graphic xmlns:a="http://schemas.openxmlformats.org/drawingml/2006/main">
                                          <a:graphicData uri="http://schemas.openxmlformats.org/drawingml/2006/picture">
                                            <pic:pic xmlns:pic="http://schemas.openxmlformats.org/drawingml/2006/picture">
                                              <pic:nvPicPr>
                                                <pic:cNvPr id="18" name="Picture 18"/>
                                                <pic:cNvPicPr/>
                                              </pic:nvPicPr>
                                              <pic:blipFill>
                                                <a:blip cstate="print" r:embed="PictureId1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Maintaining a positive image and boasting a proven track record is crucial to attract new and larger clients, generate repeat business and achieve consistent revenue growth. A solid reputation is achievable by offering high-quality services and surpassing client expectations.</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Maintaining a loyal, satisfied customer base ensures repeat business and good word-of-mouth recommendations. This allows consultancy firms to generate steady revenue even during times of uncertainty.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19" name="Picture 19"/>
                                  <a:graphic xmlns:a="http://schemas.openxmlformats.org/drawingml/2006/main">
                                    <a:graphicData uri="http://schemas.openxmlformats.org/drawingml/2006/picture">
                                      <pic:pic xmlns:pic="http://schemas.openxmlformats.org/drawingml/2006/picture">
                                        <pic:nvPicPr>
                                          <pic:cNvPr id="20" name="Picture 20"/>
                                          <pic:cNvPicPr/>
                                        </pic:nvPicPr>
                                        <pic:blipFill>
                                          <a:blip cstate="print" r:embed="PictureId1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Maintaining a positive image and boasting a proven track record is crucial to attract new and larger clients, generate repeat business and achieve consistent revenue growth. A solid reputation is achievable by offering high-quality services and surpassing client expectations.</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Maintaining a loyal, satisfied customer base ensures repeat business and good word-of-mouth recommendations. This allows consultancy firms to generate steady revenue even during times of uncertainty.</w:t>
                            </w:r>
                          </w:p>
                        </w:tc>
                      </w:tr>
                    </w:tbl>
                  </w:txbxContent>
                </v:textbox>
              </v:rect>
            </w:pict>
          </mc:Fallback>
        </mc:AlternateContent>
      </w:r>
      <w:r>
        <w:rPr/>
        <w:br w:type="page"/>
      </w:r>
    </w:p>
    <w:p>
      <w:pPr>
        <w:pStyle w:val="Heading2"/>
      </w:pPr>
      <w:bookmarkStart w:id="17" w:name="_Toc17"/>
      <w:r>
        <w:t>4. Products and Markets</w:t>
      </w:r>
      <w:bookmarkEnd w:id="17"/>
    </w:p>
    <w:p>
      <w:pPr/>
      <w:hyperlink r:id="gemHypRid11">
        <w:r>
          <w:rPr>
            <w:color w:val="344054"/>
          </w:rPr>
          <w:t>https://my.ibisworld.com/no/en/industry/NO-M702/products-and-markets</w:t>
        </w:r>
      </w:hyperlink>
    </w:p>
    <w:p>
      <w:pPr>
        <w:pStyle w:val="Heading3"/>
      </w:pPr>
      <w:bookmarkStart w:id="18" w:name="_Toc18"/>
      <w:r>
        <w:t>Products and Services</w:t>
      </w:r>
      <w:bookmarkEnd w:id="18"/>
    </w:p>
    <w:p>
      <w:pPr>
        <w:numPr>
          <w:ilvl w:val="0"/>
          <w:numId w:val="60"/>
        </w:numPr>
        <w:spacing w:after="80" w:lineRule="auto" w:line="312"/>
      </w:pPr>
      <w:r>
        <w:rPr>
          <w:b w:val="false"/>
          <w:bCs w:val="false"/>
        </w:rPr>
        <w:t>IT strategy</w:t>
      </w:r>
    </w:p>
    <w:p>
      <w:pPr>
        <w:numPr>
          <w:ilvl w:val="0"/>
          <w:numId w:val="61"/>
        </w:numPr>
        <w:spacing w:after="80" w:lineRule="auto" w:line="312"/>
      </w:pPr>
      <w:r>
        <w:rPr>
          <w:b w:val="false"/>
          <w:bCs w:val="false"/>
        </w:rPr>
        <w:t>Corporate strategy</w:t>
      </w:r>
    </w:p>
    <w:p>
      <w:pPr>
        <w:numPr>
          <w:ilvl w:val="0"/>
          <w:numId w:val="62"/>
        </w:numPr>
        <w:spacing w:after="80" w:lineRule="auto" w:line="312"/>
      </w:pPr>
      <w:r>
        <w:rPr>
          <w:b w:val="false"/>
          <w:bCs w:val="false"/>
        </w:rPr>
        <w:t>Process and operations management</w:t>
      </w:r>
    </w:p>
    <w:p>
      <w:pPr>
        <w:numPr>
          <w:ilvl w:val="0"/>
          <w:numId w:val="63"/>
        </w:numPr>
        <w:spacing w:after="80" w:lineRule="auto" w:line="312"/>
      </w:pPr>
      <w:r>
        <w:rPr>
          <w:b w:val="false"/>
          <w:bCs w:val="false"/>
        </w:rPr>
        <w:t>Programme or project management</w:t>
      </w:r>
    </w:p>
    <w:p>
      <w:pPr>
        <w:numPr>
          <w:ilvl w:val="0"/>
          <w:numId w:val="64"/>
        </w:numPr>
        <w:spacing w:after="80" w:lineRule="auto" w:line="312"/>
      </w:pPr>
      <w:r>
        <w:rPr>
          <w:b w:val="false"/>
          <w:bCs w:val="false"/>
        </w:rPr>
        <w:t>Risk management</w:t>
      </w:r>
    </w:p>
    <w:p>
      <w:pPr>
        <w:numPr>
          <w:ilvl w:val="0"/>
          <w:numId w:val="65"/>
        </w:numPr>
        <w:spacing w:after="80" w:lineRule="auto" w:line="312"/>
      </w:pPr>
      <w:r>
        <w:rPr>
          <w:b w:val="false"/>
          <w:bCs w:val="false"/>
        </w:rPr>
        <w:t>Human capital</w:t>
      </w:r>
    </w:p>
    <w:p>
      <w:pPr>
        <w:numPr>
          <w:ilvl w:val="0"/>
          <w:numId w:val="66"/>
        </w:numPr>
        <w:spacing w:after="80" w:lineRule="auto" w:line="312"/>
      </w:pPr>
      <w:r>
        <w:rPr>
          <w:b w:val="false"/>
          <w:bCs w:val="false"/>
        </w:rPr>
        <w:t>Other services</w:t>
      </w:r>
    </w:p>
    <w:p>
      <w:pPr>
        <w:pStyle w:val="Heading3"/>
      </w:pPr>
      <w:bookmarkStart w:id="19" w:name="_Toc19"/>
      <w:r>
        <w:t>Major Markets</w:t>
      </w:r>
      <w:bookmarkEnd w:id="19"/>
    </w:p>
    <w:p>
      <w:pPr>
        <w:numPr>
          <w:ilvl w:val="0"/>
          <w:numId w:val="67"/>
        </w:numPr>
        <w:spacing w:after="80" w:lineRule="auto" w:line="312"/>
      </w:pPr>
      <w:r>
        <w:rPr>
          <w:b w:val="false"/>
          <w:bCs w:val="false"/>
        </w:rPr>
        <w:t>Financial services sector</w:t>
      </w:r>
    </w:p>
    <w:p>
      <w:pPr>
        <w:numPr>
          <w:ilvl w:val="0"/>
          <w:numId w:val="68"/>
        </w:numPr>
        <w:spacing w:after="80" w:lineRule="auto" w:line="312"/>
      </w:pPr>
      <w:r>
        <w:rPr>
          <w:b w:val="false"/>
          <w:bCs w:val="false"/>
        </w:rPr>
        <w:t>Government departments</w:t>
      </w:r>
    </w:p>
    <w:p>
      <w:pPr>
        <w:numPr>
          <w:ilvl w:val="0"/>
          <w:numId w:val="69"/>
        </w:numPr>
        <w:spacing w:after="80" w:lineRule="auto" w:line="312"/>
      </w:pPr>
      <w:r>
        <w:rPr>
          <w:b w:val="false"/>
          <w:bCs w:val="false"/>
        </w:rPr>
        <w:t>Telecommunications and information sector</w:t>
      </w:r>
    </w:p>
    <w:p>
      <w:pPr>
        <w:numPr>
          <w:ilvl w:val="0"/>
          <w:numId w:val="70"/>
        </w:numPr>
        <w:spacing w:after="80" w:lineRule="auto" w:line="312"/>
      </w:pPr>
      <w:r>
        <w:rPr>
          <w:b w:val="false"/>
          <w:bCs w:val="false"/>
        </w:rPr>
        <w:t>Manufacturing sector</w:t>
      </w:r>
    </w:p>
    <w:p>
      <w:pPr>
        <w:numPr>
          <w:ilvl w:val="0"/>
          <w:numId w:val="71"/>
        </w:numPr>
        <w:spacing w:after="80" w:lineRule="auto" w:line="312"/>
      </w:pPr>
      <w:r>
        <w:rPr>
          <w:b w:val="false"/>
          <w:bCs w:val="false"/>
        </w:rPr>
        <w:t>Energy and utilities sector</w:t>
      </w:r>
    </w:p>
    <w:p>
      <w:pPr>
        <w:numPr>
          <w:ilvl w:val="0"/>
          <w:numId w:val="72"/>
        </w:numPr>
        <w:spacing w:after="80" w:lineRule="auto" w:line="312"/>
      </w:pPr>
      <w:r>
        <w:rPr>
          <w:b w:val="false"/>
          <w:bCs w:val="false"/>
        </w:rPr>
        <w:t>Retail and leisure sector</w:t>
      </w:r>
    </w:p>
    <w:p>
      <w:pPr>
        <w:numPr>
          <w:ilvl w:val="0"/>
          <w:numId w:val="73"/>
        </w:numPr>
        <w:spacing w:after="80" w:lineRule="auto" w:line="312"/>
      </w:pPr>
      <w:r>
        <w:rPr>
          <w:b w:val="false"/>
          <w:bCs w:val="false"/>
        </w:rPr>
        <w:t>Other</w:t>
      </w:r>
      <w:r>
        <w:rPr/>
        <w:br w:type="page"/>
      </w:r>
    </w:p>
    <w:p>
      <w:pPr/>
      <w:r>
        <mc:AlternateContent>
          <mc:Choice Requires="wps">
            <w:drawing>
              <wp:inline>
                <wp:extent cx="6645910" cy="762000"/>
                <wp:docPr id="21" name="Text Box 2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Leveraging big data and advanced technology, like AI and machine learning, has become a game-changer for expanding management consulting services. Incorporating these innovative tools drives efficiency and productivity in providing strategic advice and tailored solutions.</w:t>
                                  </w:r>
                                </w:p>
                              </w:tc>
                            </w:tr>
                            <w:tr>
                              <w:trPr>
                                <w:cnfStyle w:val="000000000000"/>
                              </w:trPr>
                              <w:tc>
                                <w:tcPr>
                                  <w:cnfStyle w:val="000000000000"/>
                                </w:tcPr>
                                <w:p>
                                  <w:pPr>
                                    <w:cnfStyle w:val="000000000000"/>
                                    <w:spacing w:before="80" w:after="80"/>
                                  </w:pPr>
                                  <w:r>
                                    <w:rPr>
                                      <w:b/>
                                      <w:bCs/>
                                      <w:color w:val="104080"/>
                                    </w:rPr>
                                    <w:t>Provide a related range of goods and/or services</w:t>
                                  </w:r>
                                </w:p>
                                <w:p>
                                  <w:pPr>
                                    <w:cnfStyle w:val="000000000000"/>
                                    <w:spacing w:before="80" w:after="160"/>
                                  </w:pPr>
                                  <w:r>
                                    <w:rPr>
                                      <w:color w:val="104080"/>
                                    </w:rPr>
                                    <w:t>The broad array of consulting services allows management consultancy firms in Europe to expand their offerings and target various markets, mitigating the effects of economic uncertainty. IT consulting and environmental consulting are two service areas recording strong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Leveraging big data and advanced technology, like AI and machine learning, has become a game-changer for expanding management consulting services. Incorporating these innovative tools drives efficiency and productivity in providing strategic advice and tailored solutions.</w:t>
                            </w:r>
                          </w:p>
                        </w:tc>
                      </w:tr>
                      <w:tr>
                        <w:trPr>
                          <w:cnfStyle w:val="000000000000"/>
                        </w:trPr>
                        <w:tc>
                          <w:tcPr>
                            <w:cnfStyle w:val="000000000000"/>
                          </w:tcPr>
                          <w:p>
                            <w:pPr>
                              <w:cnfStyle w:val="000000000000"/>
                              <w:spacing w:before="80" w:after="80"/>
                            </w:pPr>
                            <w:r>
                              <w:rPr>
                                <w:b/>
                                <w:bCs/>
                                <w:color w:val="104080"/>
                              </w:rPr>
                              <w:t>Provide a related range of goods and/or services</w:t>
                            </w:r>
                          </w:p>
                          <w:p>
                            <w:pPr>
                              <w:cnfStyle w:val="000000000000"/>
                              <w:spacing w:before="80" w:after="160"/>
                            </w:pPr>
                            <w:r>
                              <w:rPr>
                                <w:color w:val="104080"/>
                              </w:rPr>
                              <w:t>The broad array of consulting services allows management consultancy firms in Europe to expand their offerings and target various markets, mitigating the effects of economic uncertainty. IT consulting and environmental consulting are two service areas recording strong growth.</w:t>
                            </w:r>
                          </w:p>
                        </w:tc>
                      </w:tr>
                    </w:tbl>
                  </w:txbxContent>
                </v:textbox>
              </v:rect>
            </w:pict>
          </mc:Fallback>
        </mc:AlternateContent>
      </w:r>
      <w:r>
        <w:rPr/>
        <w:br w:type="page"/>
      </w:r>
    </w:p>
    <w:p>
      <w:pPr>
        <w:pStyle w:val="Heading2"/>
      </w:pPr>
      <w:bookmarkStart w:id="20" w:name="_Toc20"/>
      <w:r>
        <w:t>5. Competitive Forces</w:t>
      </w:r>
      <w:bookmarkEnd w:id="20"/>
    </w:p>
    <w:p>
      <w:pPr/>
      <w:hyperlink r:id="gemHypRid13">
        <w:r>
          <w:rPr>
            <w:color w:val="344054"/>
          </w:rPr>
          <w:t>https://my.ibisworld.com/no/en/industry/NO-M702/competitive-forces</w:t>
        </w:r>
      </w:hyperlink>
    </w:p>
    <w:p>
      <w:pPr>
        <w:pStyle w:val="Heading3"/>
      </w:pPr>
      <w:bookmarkStart w:id="21" w:name="_Toc21"/>
      <w:r>
        <w:t>Highlights</w:t>
      </w:r>
      <w:bookmarkEnd w:id="21"/>
    </w:p>
    <w:p>
      <w:pPr>
        <w:pStyle w:val="Heading4"/>
      </w:pPr>
      <w:r>
        <w:t>What is the competitive landscape in Norway?</w:t>
      </w:r>
    </w:p>
    <w:p>
      <w:pPr>
        <w:numPr>
          <w:ilvl w:val="0"/>
          <w:numId w:val="74"/>
        </w:numPr>
        <w:spacing w:after="80" w:lineRule="auto" w:line="312"/>
      </w:pPr>
      <w:r>
        <w:rPr>
          <w:b w:val="false"/>
          <w:bCs w:val="false"/>
        </w:rPr>
        <w:t>The regulatory environment that governs activity in the Management Consultants industry in Norway is lightly competitive.</w:t>
      </w:r>
    </w:p>
    <w:p>
      <w:pPr>
        <w:numPr>
          <w:ilvl w:val="0"/>
          <w:numId w:val="75"/>
        </w:numPr>
        <w:spacing w:after="80" w:lineRule="auto" w:line="312"/>
      </w:pPr>
      <w:r>
        <w:rPr>
          <w:b w:val="false"/>
          <w:bCs w:val="false"/>
        </w:rPr>
        <w:t>One of the most prominent competitive threats to industry operators is supplier power, which are at a Low level in Norway - this is also the case in 16 other countries across Europe, including Lithuania, and Iceland.</w:t>
      </w:r>
    </w:p>
    <w:p>
      <w:pPr>
        <w:numPr>
          <w:ilvl w:val="0"/>
          <w:numId w:val="76"/>
        </w:numPr>
        <w:spacing w:after="80" w:lineRule="auto" w:line="312"/>
      </w:pPr>
      <w:r>
        <w:rPr>
          <w:b w:val="false"/>
          <w:bCs w:val="false"/>
        </w:rPr>
        <w:t>The direct impact on product or service cost and quality because of higher bargaining power held by suppliers - this can drive up prices, result in supply being cut off or otherwise - may force a business to pass on costs to buyers or reduce their margins, thereby weakening their market position.</w:t>
      </w:r>
    </w:p>
    <w:p>
      <w:pPr>
        <w:numPr>
          <w:ilvl w:val="0"/>
          <w:numId w:val="77"/>
        </w:numPr>
        <w:spacing w:after="80" w:lineRule="auto" w:line="312"/>
      </w:pPr>
      <w:r>
        <w:rPr>
          <w:b w:val="false"/>
          <w:bCs w:val="false"/>
        </w:rPr>
        <w:t>Relative to the identified threat, operators in Norway have more scope to gain a competitive advantage in accordance with Low barriers to entry - 13 other European countries also have Low barriers to entry, including Lithuania, and Iceland.</w:t>
      </w:r>
    </w:p>
    <w:p>
      <w:pPr>
        <w:numPr>
          <w:ilvl w:val="0"/>
          <w:numId w:val="78"/>
        </w:numPr>
        <w:spacing w:after="80" w:lineRule="auto" w:line="312"/>
      </w:pPr>
      <w:r>
        <w:rPr>
          <w:b w:val="false"/>
          <w:bCs w:val="false"/>
        </w:rPr>
        <w:t>The presence of barriers preventing potential businesses from entering the industry, safeguard existing operators from added competition beyond the pre-existing and having to compete with more players for finite revenue..</w:t>
      </w:r>
      <w:r>
        <w:rPr/>
        <w:br w:type="page"/>
      </w:r>
    </w:p>
    <w:p>
      <w:pPr>
        <w:pStyle w:val="Heading3"/>
      </w:pPr>
      <w:bookmarkStart w:id="22" w:name="_Toc22"/>
      <w:r>
        <w:t>Buyer &amp; Supplier Power</w:t>
      </w:r>
      <w:bookmarkEnd w:id="22"/>
    </w:p>
    <w:p>
      <w:pPr/>
      <w:r>
        <w:drawing>
          <wp:inline>
            <wp:extent cx="6648450" cy="4154288"/>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4"/>
                    <a:stretch>
                      <a:fillRect/>
                    </a:stretch>
                  </pic:blipFill>
                  <pic:spPr>
                    <a:xfrm>
                      <a:off x="0" y="0"/>
                      <a:ext cx="6648450" cy="4154288"/>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Possess accurate information</w:t>
                                  </w:r>
                                </w:p>
                                <w:p>
                                  <w:pPr>
                                    <w:cnfStyle w:val="000000000000"/>
                                    <w:spacing w:before="80" w:after="160"/>
                                  </w:pPr>
                                  <w:r>
                                    <w:rPr>
                                      <w:color w:val="104080"/>
                                    </w:rPr>
                                    <w:t>Access to valid and reliable data is crucial as data forms the foundation of a consultant's decision-making process. Inaccurate information can lead to bad advice and ruin client relationships.</w:t>
                                  </w:r>
                                </w:p>
                              </w:tc>
                            </w:tr>
                            <w:tr>
                              <w:trPr>
                                <w:cnfStyle w:val="000000000000"/>
                              </w:trPr>
                              <w:tc>
                                <w:tcPr>
                                  <w:cnfStyle w:val="000000000000"/>
                                </w:tcPr>
                                <w:p>
                                  <w:pPr>
                                    <w:cnfStyle w:val="000000000000"/>
                                    <w:spacing w:before="80" w:after="80"/>
                                  </w:pPr>
                                  <w:r>
                                    <w:rPr>
                                      <w:b/>
                                      <w:bCs/>
                                      <w:color w:val="104080"/>
                                    </w:rPr>
                                    <w:t>Effectively communicate and negotiate</w:t>
                                  </w:r>
                                </w:p>
                                <w:p>
                                  <w:pPr>
                                    <w:cnfStyle w:val="000000000000"/>
                                    <w:spacing w:before="80" w:after="160"/>
                                  </w:pPr>
                                  <w:r>
                                    <w:rPr>
                                      <w:color w:val="104080"/>
                                    </w:rPr>
                                    <w:t>Strong presentation skills, particularly in relation to client report presentations and for tenders, are a key success factor for management consultants.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Possess accurate information</w:t>
                            </w:r>
                          </w:p>
                          <w:p>
                            <w:pPr>
                              <w:cnfStyle w:val="000000000000"/>
                              <w:spacing w:before="80" w:after="160"/>
                            </w:pPr>
                            <w:r>
                              <w:rPr>
                                <w:color w:val="104080"/>
                              </w:rPr>
                              <w:t>Access to valid and reliable data is crucial as data forms the foundation of a consultant's decision-making process. Inaccurate information can lead to bad advice and ruin client relationships.</w:t>
                            </w:r>
                          </w:p>
                        </w:tc>
                      </w:tr>
                      <w:tr>
                        <w:trPr>
                          <w:cnfStyle w:val="000000000000"/>
                        </w:trPr>
                        <w:tc>
                          <w:tcPr>
                            <w:cnfStyle w:val="000000000000"/>
                          </w:tcPr>
                          <w:p>
                            <w:pPr>
                              <w:cnfStyle w:val="000000000000"/>
                              <w:spacing w:before="80" w:after="80"/>
                            </w:pPr>
                            <w:r>
                              <w:rPr>
                                <w:b/>
                                <w:bCs/>
                                <w:color w:val="104080"/>
                              </w:rPr>
                              <w:t>Effectively communicate and negotiate</w:t>
                            </w:r>
                          </w:p>
                          <w:p>
                            <w:pPr>
                              <w:cnfStyle w:val="000000000000"/>
                              <w:spacing w:before="80" w:after="160"/>
                            </w:pPr>
                            <w:r>
                              <w:rPr>
                                <w:color w:val="104080"/>
                              </w:rPr>
                              <w:t>Strong presentation skills, particularly in relation to client report presentations and for tenders, are a key success factor for management consultants.</w:t>
                            </w:r>
                          </w:p>
                        </w:tc>
                      </w:tr>
                    </w:tbl>
                  </w:txbxContent>
                </v:textbox>
              </v:rect>
            </w:pict>
          </mc:Fallback>
        </mc:AlternateContent>
      </w:r>
      <w:r>
        <w:rPr/>
        <w:br w:type="page"/>
      </w:r>
    </w:p>
    <w:p>
      <w:pPr>
        <w:pStyle w:val="Heading2"/>
      </w:pPr>
      <w:bookmarkStart w:id="23" w:name="_Toc23"/>
      <w:r>
        <w:t>6. Companies</w:t>
      </w:r>
      <w:bookmarkEnd w:id="23"/>
    </w:p>
    <w:p>
      <w:pPr/>
      <w:hyperlink r:id="gemHypRid16">
        <w:r>
          <w:rPr>
            <w:color w:val="344054"/>
          </w:rPr>
          <w:t>https://my.ibisworld.com/no/en/industry/NO-M702/companies</w:t>
        </w:r>
      </w:hyperlink>
    </w:p>
    <w:p>
      <w:pPr/>
      <w:r>
        <w:t xml:space="preserve"> </w:t>
      </w:r>
    </w:p>
    <w:p>
      <w:pPr/>
      <w:r>
        <mc:AlternateContent>
          <mc:Choice Requires="wps">
            <w:drawing>
              <wp:inline>
                <wp:extent cx="6645910" cy="508000"/>
                <wp:docPr id="33" name="Text Box 33"/>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No single company accounts for more than 5% of total industry market share.</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No single company accounts for more than 5% of total industry market share.</w:t>
                      </w:r>
                    </w:p>
                  </w:txbxContent>
                </v:textbox>
              </v:roundrect>
            </w:pict>
          </mc:Fallback>
        </mc:AlternateContent>
      </w:r>
      <w:r>
        <w:rPr/>
        <w:br w:type="page"/>
      </w:r>
    </w:p>
    <w:p>
      <w:pPr>
        <w:pStyle w:val="Heading2"/>
      </w:pPr>
      <w:bookmarkStart w:id="24" w:name="_Toc24"/>
      <w:r>
        <w:t>7. External Environment</w:t>
      </w:r>
      <w:bookmarkEnd w:id="24"/>
    </w:p>
    <w:p>
      <w:pPr/>
      <w:hyperlink r:id="gemHypRid17">
        <w:r>
          <w:rPr>
            <w:color w:val="344054"/>
          </w:rPr>
          <w:t>https://my.ibisworld.com/no/en/industry/NO-M702/external-environment</w:t>
        </w:r>
      </w:hyperlink>
    </w:p>
    <w:p>
      <w:pPr>
        <w:pStyle w:val="Heading3"/>
      </w:pPr>
      <w:bookmarkStart w:id="25" w:name="_Toc25"/>
      <w:r>
        <w:t>Highlights</w:t>
      </w:r>
      <w:bookmarkEnd w:id="25"/>
    </w:p>
    <w:p>
      <w:pPr>
        <w:pStyle w:val="Heading3"/>
      </w:pPr>
      <w:bookmarkStart w:id="26" w:name="_Toc26"/>
      <w:r>
        <w:t>External Drivers</w:t>
      </w:r>
      <w:bookmarkEnd w:id="26"/>
    </w:p>
    <w:p>
      <w:pPr>
        <w:pStyle w:val="Heading4"/>
      </w:pPr>
      <w:r>
        <w:t>How does Norway's external environment impact operations?</w:t>
      </w:r>
    </w:p>
    <w:p>
      <w:pPr>
        <w:numPr>
          <w:ilvl w:val="0"/>
          <w:numId w:val="79"/>
        </w:numPr>
        <w:spacing w:after="80" w:lineRule="auto" w:line="312"/>
      </w:pPr>
      <w:r>
        <w:rPr>
          <w:b w:val="false"/>
          <w:bCs w:val="false"/>
        </w:rPr>
        <w:t>The regulatory environment that governs activity in the Management Consultants industry in Norway is strict.</w:t>
      </w:r>
    </w:p>
    <w:p>
      <w:pPr>
        <w:numPr>
          <w:ilvl w:val="0"/>
          <w:numId w:val="80"/>
        </w:numPr>
        <w:spacing w:after="80" w:lineRule="auto" w:line="312"/>
      </w:pPr>
      <w:r>
        <w:rPr>
          <w:b w:val="false"/>
          <w:bCs w:val="false"/>
        </w:rPr>
        <w:t>Operators are subject to regulations and policies which heavily scrutinise business operations, implying business owners in Norway must do more to ensure compliance.</w:t>
      </w:r>
    </w:p>
    <w:p>
      <w:pPr>
        <w:numPr>
          <w:ilvl w:val="0"/>
          <w:numId w:val="81"/>
        </w:numPr>
        <w:spacing w:after="80" w:lineRule="auto" w:line="312"/>
      </w:pPr>
      <w:r>
        <w:rPr>
          <w:b w:val="false"/>
          <w:bCs w:val="false"/>
        </w:rPr>
        <w:t>There are 5 other countries across European where the industry is also subject to a high level of regulation, including Finland and Denmark.</w:t>
      </w:r>
    </w:p>
    <w:p>
      <w:pPr>
        <w:numPr>
          <w:ilvl w:val="0"/>
          <w:numId w:val="82"/>
        </w:numPr>
        <w:spacing w:after="80" w:lineRule="auto" w:line="312"/>
      </w:pPr>
      <w:r>
        <w:rPr>
          <w:b w:val="false"/>
          <w:bCs w:val="false"/>
        </w:rPr>
        <w:t>With regards to external assisstance, operators in Norway receive Moderate support from central government, associated public bodies, trade associations and other non-government entities.</w:t>
      </w:r>
    </w:p>
    <w:p>
      <w:pPr>
        <w:numPr>
          <w:ilvl w:val="0"/>
          <w:numId w:val="83"/>
        </w:numPr>
        <w:spacing w:after="80" w:lineRule="auto" w:line="312"/>
      </w:pPr>
      <w:r>
        <w:rPr>
          <w:b w:val="false"/>
          <w:bCs w:val="false"/>
        </w:rPr>
        <w:t>In addition to generic support options being made available, operators benefit from some which are reserved specifically for those with an interest in the industry.</w:t>
      </w:r>
    </w:p>
    <w:p>
      <w:pPr>
        <w:numPr>
          <w:ilvl w:val="0"/>
          <w:numId w:val="84"/>
        </w:numPr>
        <w:spacing w:after="80" w:lineRule="auto" w:line="312"/>
      </w:pPr>
      <w:r>
        <w:rPr>
          <w:b w:val="false"/>
          <w:bCs w:val="false"/>
        </w:rPr>
        <w:t>Turkey and Denmark, along with 4 other European countries, also have a Moderate level of assistance.</w:t>
      </w:r>
    </w:p>
    <w:p>
      <w:pP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Business sentiment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Number of enterprises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public expenditure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Degree of digitalisation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r>
        <w:rPr/>
        <w:br w:type="page"/>
      </w:r>
    </w:p>
    <w:p>
      <w:pPr>
        <w:pStyle w:val="Heading2"/>
      </w:pPr>
      <w:bookmarkStart w:id="27" w:name="_Toc27"/>
      <w:r>
        <w:t>8. Financial Benchmarks</w:t>
      </w:r>
      <w:bookmarkEnd w:id="27"/>
    </w:p>
    <w:p>
      <w:pPr/>
      <w:hyperlink r:id="gemHypRid18">
        <w:r>
          <w:rPr>
            <w:color w:val="344054"/>
          </w:rPr>
          <w:t>https://my.ibisworld.com/no/en/industry/NO-M702/financial-benchmarks</w:t>
        </w:r>
      </w:hyperlink>
    </w:p>
    <w:p>
      <w:pPr>
        <w:pStyle w:val="Heading3"/>
      </w:pPr>
      <w:bookmarkStart w:id="28" w:name="_Toc28"/>
      <w:r>
        <w:t>Highlights</w:t>
      </w:r>
      <w:bookmarkEnd w:id="2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24.3 %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€63,391</w:t>
            </w:r>
            <w:r>
              <w:br/>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p>
        </w:tc>
      </w:tr>
    </w:tbl>
    <w:p>
      <w:pPr>
        <w:pStyle w:val="Heading3"/>
      </w:pPr>
      <w:bookmarkStart w:id="29" w:name="_Toc29"/>
      <w:r>
        <w:t>Cost Structure</w:t>
      </w:r>
      <w:bookmarkEnd w:id="29"/>
    </w:p>
    <w:p>
      <w:pPr/>
      <w:r>
        <w:drawing>
          <wp:inline>
            <wp:extent cx="6477000" cy="4524375"/>
            <wp:docPr id="34" name="Picture 34"/>
            <a:graphic xmlns:a="http://schemas.openxmlformats.org/drawingml/2006/main">
              <a:graphicData uri="http://schemas.openxmlformats.org/drawingml/2006/picture">
                <pic:pic xmlns:pic="http://schemas.openxmlformats.org/drawingml/2006/picture">
                  <pic:nvPicPr>
                    <pic:cNvPr id="35" name="Picture 35"/>
                    <pic:cNvPicPr/>
                  </pic:nvPicPr>
                  <pic:blipFill>
                    <a:blip cstate="print" r:embed="PictureId19"/>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36" name="Text Box 36"/>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How does Norway's cost structure compare to European?</w:t>
      </w:r>
    </w:p>
    <w:p>
      <w:pPr>
        <w:numPr>
          <w:ilvl w:val="0"/>
          <w:numId w:val="85"/>
        </w:numPr>
        <w:spacing w:after="80" w:lineRule="auto" w:line="312"/>
      </w:pPr>
      <w:r>
        <w:rPr>
          <w:b w:val="false"/>
          <w:bCs w:val="false"/>
        </w:rPr>
        <w:t>The Management Consultants in Norway is forecast to have an average operating margin of 24.3% in 2025.</w:t>
      </w:r>
    </w:p>
    <w:p>
      <w:pPr>
        <w:numPr>
          <w:ilvl w:val="0"/>
          <w:numId w:val="86"/>
        </w:numPr>
        <w:spacing w:after="80" w:lineRule="auto" w:line="312"/>
      </w:pPr>
      <w:r>
        <w:rPr>
          <w:b w:val="false"/>
          <w:bCs w:val="false"/>
        </w:rPr>
        <w:t>This ranks 12th in Europe and outperforms the European average of 21.2%, by 3.0 percentage points.</w:t>
      </w:r>
    </w:p>
    <w:p>
      <w:pPr>
        <w:numPr>
          <w:ilvl w:val="0"/>
          <w:numId w:val="87"/>
        </w:numPr>
        <w:spacing w:after="80" w:lineRule="auto" w:line="312"/>
      </w:pPr>
      <w:r>
        <w:rPr>
          <w:b w:val="false"/>
          <w:bCs w:val="false"/>
        </w:rPr>
        <w:t>Absorbing 30.1% of industry revenue, Wages represent the industry's largest classified cost - this is 8.6 percentage points above the continent's average (21.5)% and ranks 0 in Europe.</w:t>
      </w:r>
    </w:p>
    <w:p>
      <w:pPr>
        <w:numPr>
          <w:ilvl w:val="0"/>
          <w:numId w:val="88"/>
        </w:numPr>
        <w:spacing w:after="80" w:lineRule="auto" w:line="312"/>
      </w:pPr>
      <w:r>
        <w:rPr>
          <w:b w:val="false"/>
          <w:bCs w:val="false"/>
        </w:rPr>
        <w:t>The industry in Germany is closested aligned with its counterpart in Norway with regards to profitability, posting a margin 0.2 percentage points above Norway, at 24.5%.</w:t>
      </w:r>
    </w:p>
    <w:p>
      <w:pPr>
        <w:numPr>
          <w:ilvl w:val="0"/>
          <w:numId w:val="89"/>
        </w:numPr>
        <w:spacing w:after="80" w:lineRule="auto" w:line="312"/>
      </w:pPr>
      <w:r>
        <w:rPr>
          <w:b w:val="false"/>
          <w:bCs w:val="false"/>
        </w:rPr>
        <w:t>Conversely, the largest gap in operating profit relative to Norway is Ireland, with the latter underperforming the former by 18.2 percentage points at 6.1%.</w:t>
      </w:r>
    </w:p>
    <w:p>
      <w:pPr>
        <w:pStyle w:val="Heading3"/>
      </w:pPr>
      <w:bookmarkStart w:id="30" w:name="_Toc30"/>
      <w:r>
        <w:t>Key Ratios</w:t>
      </w:r>
      <w:bookmarkEnd w:id="30"/>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346,934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116,366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328,669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107,059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105,399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296,834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286,871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267,733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92,615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251,588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83,887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215,298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63,855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62,730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215,858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61,989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218,497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61,663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61,339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w:t>
            </w:r>
          </w:p>
        </w:tc>
      </w:tr>
    </w:tbl>
    <w:p>
      <w:pPr/>
      <w:r>
        <w:rPr>
          <w:color w:val="0C1C31"/>
          <w:sz w:val="26"/>
          <w:szCs w:val="26"/>
        </w:rPr>
        <w:t>*Figures are inflation adjusted to 2025</w:t>
      </w:r>
    </w:p>
    <w:p>
      <w:pPr/>
      <w:r>
        <w:t>*Figures are inflation adjusted to 2025</w:t>
      </w:r>
      <w:r>
        <w:rPr/>
        <w:br w:type="page"/>
      </w:r>
    </w:p>
    <w:p>
      <w:pPr>
        <w:pStyle w:val="Heading2"/>
      </w:pPr>
      <w:bookmarkStart w:id="31" w:name="_Toc31"/>
      <w:r>
        <w:t>9. Country Benchmarks</w:t>
      </w:r>
      <w:bookmarkEnd w:id="31"/>
    </w:p>
    <w:p>
      <w:pPr/>
      <w:hyperlink r:id="gemHypRid20">
        <w:r>
          <w:rPr>
            <w:color w:val="344054"/>
          </w:rPr>
          <w:t>https://my.ibisworld.com/no/en/industry/NO-M702/country-benchmarks</w:t>
        </w:r>
      </w:hyperlink>
    </w:p>
    <w:p>
      <w:pPr>
        <w:pStyle w:val="Heading3"/>
      </w:pPr>
      <w:bookmarkStart w:id="32" w:name="_Toc32"/>
      <w:r>
        <w:t>Structural Comparison</w:t>
      </w:r>
      <w:bookmarkEnd w:id="3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United Kingdom Level </w:t>
            </w:r>
          </w:p>
        </w:tc>
        <w:tc>
          <w:tcPr>
            <w:cnfStyle w:val="000000000000"/>
            <w:tcBorders>
              <w:bottom w:val="single" w:sz="8" w:color="000000"/>
            </w:tcBorders>
          </w:tcPr>
          <w:p>
            <w:pPr>
              <w:cnfStyle w:val="000000000000"/>
              <w:jc w:val="right"/>
            </w:pPr>
            <w:r>
              <w:rPr>
                <w:color w:val="0C1C31"/>
                <w:sz w:val="16"/>
                <w:szCs w:val="16"/>
              </w:rPr>
              <w:t xml:space="preserve">Norway Level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Very 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r>
    </w:tbl>
    <w:p>
      <w:pPr/>
      <w:r>
        <w:rPr>
          <w:color w:val="0C1C31"/>
          <w:sz w:val="34"/>
          <w:szCs w:val="34"/>
        </w:rPr>
        <w:t>Structural Comparison</w:t>
      </w:r>
    </w:p>
    <w:p>
      <w:pPr/>
      <w:r>
        <w:t>Structural Comparison</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Ireland Level </w:t>
            </w:r>
          </w:p>
        </w:tc>
        <w:tc>
          <w:tcPr>
            <w:cnfStyle w:val="000000000000"/>
            <w:tcBorders>
              <w:bottom w:val="single" w:sz="8" w:color="000000"/>
            </w:tcBorders>
          </w:tcPr>
          <w:p>
            <w:pPr>
              <w:cnfStyle w:val="000000000000"/>
              <w:jc w:val="right"/>
            </w:pPr>
            <w:r>
              <w:rPr>
                <w:color w:val="0C1C31"/>
                <w:sz w:val="16"/>
                <w:szCs w:val="16"/>
              </w:rPr>
              <w:t xml:space="preserve">Norway Level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Very 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r>
    </w:tbl>
    <w:p>
      <w:pPr/>
      <w:r>
        <w:rPr>
          <w:color w:val="0C1C31"/>
          <w:sz w:val="34"/>
          <w:szCs w:val="34"/>
        </w:rPr>
        <w:t>Structural Comparison</w:t>
      </w:r>
    </w:p>
    <w:p>
      <w:pPr/>
      <w:r>
        <w:t>Structural Comparison</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France Level </w:t>
            </w:r>
          </w:p>
        </w:tc>
        <w:tc>
          <w:tcPr>
            <w:cnfStyle w:val="000000000000"/>
            <w:tcBorders>
              <w:bottom w:val="single" w:sz="8" w:color="000000"/>
            </w:tcBorders>
          </w:tcPr>
          <w:p>
            <w:pPr>
              <w:cnfStyle w:val="000000000000"/>
              <w:jc w:val="right"/>
            </w:pPr>
            <w:r>
              <w:rPr>
                <w:color w:val="0C1C31"/>
                <w:sz w:val="16"/>
                <w:szCs w:val="16"/>
              </w:rPr>
              <w:t xml:space="preserve">Norway Level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r>
    </w:tbl>
    <w:p>
      <w:pPr/>
      <w:r>
        <w:rPr>
          <w:color w:val="0C1C31"/>
          <w:sz w:val="34"/>
          <w:szCs w:val="34"/>
        </w:rPr>
        <w:t>Structural Comparison</w:t>
      </w:r>
    </w:p>
    <w:p>
      <w:pPr/>
      <w:r>
        <w:t>Structural Comparison</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Netherlands Level </w:t>
            </w:r>
          </w:p>
        </w:tc>
        <w:tc>
          <w:tcPr>
            <w:cnfStyle w:val="000000000000"/>
            <w:tcBorders>
              <w:bottom w:val="single" w:sz="8" w:color="000000"/>
            </w:tcBorders>
          </w:tcPr>
          <w:p>
            <w:pPr>
              <w:cnfStyle w:val="000000000000"/>
              <w:jc w:val="right"/>
            </w:pPr>
            <w:r>
              <w:rPr>
                <w:color w:val="0C1C31"/>
                <w:sz w:val="16"/>
                <w:szCs w:val="16"/>
              </w:rPr>
              <w:t xml:space="preserve">Norway Level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Very 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r>
    </w:tbl>
    <w:p>
      <w:pPr/>
      <w:r>
        <w:rPr>
          <w:color w:val="0C1C31"/>
          <w:sz w:val="34"/>
          <w:szCs w:val="34"/>
        </w:rPr>
        <w:t>Structural Comparison</w:t>
      </w:r>
    </w:p>
    <w:p>
      <w:pPr/>
      <w:r>
        <w:t>Structural Comparison</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Belgium Level </w:t>
            </w:r>
          </w:p>
        </w:tc>
        <w:tc>
          <w:tcPr>
            <w:cnfStyle w:val="000000000000"/>
            <w:tcBorders>
              <w:bottom w:val="single" w:sz="8" w:color="000000"/>
            </w:tcBorders>
          </w:tcPr>
          <w:p>
            <w:pPr>
              <w:cnfStyle w:val="000000000000"/>
              <w:jc w:val="right"/>
            </w:pPr>
            <w:r>
              <w:rPr>
                <w:color w:val="0C1C31"/>
                <w:sz w:val="16"/>
                <w:szCs w:val="16"/>
              </w:rPr>
              <w:t xml:space="preserve">Norway Level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Very 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r>
    </w:tbl>
    <w:p>
      <w:pPr/>
      <w:r>
        <w:t xml:space="preserve"> </w:t>
      </w:r>
      <w:r>
        <w:rPr/>
        <w:br w:type="page"/>
      </w:r>
    </w:p>
    <w:p>
      <w:pPr>
        <w:pStyle w:val="Heading2"/>
      </w:pPr>
      <w:bookmarkStart w:id="33" w:name="_Toc33"/>
      <w:r>
        <w:t>10. Key Statistics</w:t>
      </w:r>
      <w:bookmarkEnd w:id="33"/>
    </w:p>
    <w:p>
      <w:pPr/>
      <w:hyperlink r:id="gemHypRid21">
        <w:r>
          <w:rPr>
            <w:color w:val="344054"/>
          </w:rPr>
          <w:t>https://my.ibisworld.com/no/en/industry/NO-M702/key-statistics</w:t>
        </w:r>
      </w:hyperlink>
    </w:p>
    <w:p>
      <w:pPr>
        <w:pStyle w:val="Heading3"/>
      </w:pPr>
      <w:bookmarkStart w:id="34" w:name="_Toc34"/>
      <w:r>
        <w:t>Industry Data</w:t>
      </w:r>
      <w:bookmarkEnd w:id="34"/>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3,577.8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1,085.3</w:t>
            </w:r>
          </w:p>
        </w:tc>
      </w:tr>
    </w:tbl>
    <w:p>
      <w:pPr/>
    </w:p>
    <w:p>
      <w:pPr/>
    </w:p>
    <w:p>
      <w:pPr/>
      <w:r>
        <w:t>*Figures are inflation adjusted to 2025</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p>
    <w:p>
      <w:pPr/>
    </w:p>
    <w:p>
      <w:pPr>
        <w:sectPr>
          <w:headerReference w:type="default" r:id="gemHfRid27"/>
          <w:footerReference w:type="default" r:id="gemHfRid28"/>
          <w:pgSz w:w="11906" w:h="16838" w:code="9"/>
          <w:pgMar w:top="720" w:right="720" w:bottom="1135" w:left="720" w:header="340" w:footer="511" w:gutter="0"/>
          <w:cols w:space="720"/>
          <w:docGrid w:linePitch="360"/>
        </w:sectPr>
      </w:pPr>
      <w:r>
        <w:t>*Figures are inflation adjusted to 2025</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37" name="Picture 37"/>
            <a:graphic xmlns:a="http://schemas.openxmlformats.org/drawingml/2006/main">
              <a:graphicData uri="http://schemas.openxmlformats.org/drawingml/2006/picture">
                <pic:pic xmlns:pic="http://schemas.openxmlformats.org/drawingml/2006/picture">
                  <pic:nvPicPr>
                    <pic:cNvPr id="38" name="Picture 38"/>
                    <pic:cNvPicPr/>
                  </pic:nvPicPr>
                  <pic:blipFill>
                    <a:blip cstate="print" r:embed="PictureId22"/>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39" name="Text Box 39"/>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30"/>
      <w:footerReference w:type="default" r:id="gemHfRid31"/>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4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4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4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4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4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28</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28</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Norway</w:t>
          </w:r>
        </w:p>
      </w:tc>
      <w:tc>
        <w:tcPr>
          <w:cnfStyle w:val="000000000000"/>
          <w:tcW w:w="2857" w:type="dxa"/>
          <w:hideMark/>
        </w:tcPr>
        <w:p>
          <w:pPr>
            <w:cnfStyle w:val="000000000000"/>
            <w:jc w:val="right"/>
          </w:pPr>
          <w:r>
            <w:rPr>
              <w:color w:val="0C1C31"/>
            </w:rPr>
            <w:t>Sep 2025</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Norway</w:t>
          </w:r>
        </w:p>
      </w:tc>
      <w:tc>
        <w:tcPr>
          <w:cnfStyle w:val="000000000000"/>
          <w:tcW w:w="2857" w:type="dxa"/>
          <w:hideMark/>
        </w:tcPr>
        <w:p>
          <w:pPr>
            <w:cnfStyle w:val="000000000000"/>
            <w:jc w:val="right"/>
          </w:pPr>
          <w:r>
            <w:rPr>
              <w:color w:val="0C1C31"/>
            </w:rPr>
            <w:t>Sep 2025</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Norway</w:t>
          </w:r>
        </w:p>
      </w:tc>
      <w:tc>
        <w:tcPr>
          <w:cnfStyle w:val="000000000000"/>
          <w:tcW w:w="2857" w:type="dxa"/>
          <w:hideMark/>
        </w:tcPr>
        <w:p>
          <w:pPr>
            <w:cnfStyle w:val="000000000000"/>
            <w:jc w:val="right"/>
          </w:pPr>
          <w:r>
            <w:rPr>
              <w:color w:val="0C1C31"/>
            </w:rPr>
            <w:t>Sep 2025</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Norway</w:t>
          </w:r>
        </w:p>
      </w:tc>
      <w:tc>
        <w:tcPr>
          <w:cnfStyle w:val="000000000000"/>
          <w:tcW w:w="2857" w:type="dxa"/>
          <w:hideMark/>
        </w:tcPr>
        <w:p>
          <w:pPr>
            <w:cnfStyle w:val="000000000000"/>
            <w:jc w:val="right"/>
          </w:pPr>
          <w:r>
            <w:rPr>
              <w:color w:val="0C1C31"/>
            </w:rPr>
            <w:t>Sep 2025</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Consultants in Norway</w:t>
          </w:r>
        </w:p>
      </w:tc>
      <w:tc>
        <w:tcPr>
          <w:cnfStyle w:val="000000000000"/>
          <w:tcW w:w="2857" w:type="dxa"/>
          <w:hideMark/>
        </w:tcPr>
        <w:p>
          <w:pPr>
            <w:cnfStyle w:val="000000000000"/>
            <w:jc w:val="right"/>
          </w:pPr>
          <w:r>
            <w:rPr>
              <w:color w:val="0C1C31"/>
            </w:rPr>
            <w:t>Sep 2025</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90"/>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no/en/industry/NO-M702/about" TargetMode="External" /><Relationship Id="gemHypRid3" Type="http://schemas.openxmlformats.org/officeDocument/2006/relationships/hyperlink" Target="https://my.ibisworld.com/no/en/industry/NO-M702/at-a-glance" TargetMode="External" /><Relationship Id="PictureId4" Type="http://schemas.openxmlformats.org/officeDocument/2006/relationships/image" Target="media/image2.png" /><Relationship Id="gemHypRid5" Type="http://schemas.openxmlformats.org/officeDocument/2006/relationships/hyperlink" Target="https://my.ibisworld.com/no/en/industry/NO-M702/performance" TargetMode="External" /><Relationship Id="PictureId6" Type="http://schemas.openxmlformats.org/officeDocument/2006/relationships/image" Target="media/image3.png" /><Relationship Id="PictureId7" Type="http://schemas.openxmlformats.org/officeDocument/2006/relationships/image" Target="media/image4.png" /><Relationship Id="PictureId8" Type="http://schemas.openxmlformats.org/officeDocument/2006/relationships/image" Target="media/image5.png" /><Relationship Id="PictureId9" Type="http://schemas.openxmlformats.org/officeDocument/2006/relationships/image" Target="media/image6.png" /><Relationship Id="PictureId10" Type="http://schemas.openxmlformats.org/officeDocument/2006/relationships/image" Target="media/image7.png" /><Relationship Id="gemHypRid11" Type="http://schemas.openxmlformats.org/officeDocument/2006/relationships/hyperlink" Target="https://my.ibisworld.com/no/en/industry/NO-M702/products-and-markets" TargetMode="External" /><Relationship Id="PictureId12" Type="http://schemas.openxmlformats.org/officeDocument/2006/relationships/image" Target="media/image8.png" /><Relationship Id="gemHypRid13" Type="http://schemas.openxmlformats.org/officeDocument/2006/relationships/hyperlink" Target="https://my.ibisworld.com/no/en/industry/NO-M702/competitive-forces" TargetMode="External" /><Relationship Id="PictureId14" Type="http://schemas.openxmlformats.org/officeDocument/2006/relationships/image" Target="media/image9.png" /><Relationship Id="PictureId15" Type="http://schemas.openxmlformats.org/officeDocument/2006/relationships/image" Target="media/image10.png" /><Relationship Id="gemHypRid16" Type="http://schemas.openxmlformats.org/officeDocument/2006/relationships/hyperlink" Target="https://my.ibisworld.com/no/en/industry/NO-M702/companies" TargetMode="External" /><Relationship Id="gemHypRid17" Type="http://schemas.openxmlformats.org/officeDocument/2006/relationships/hyperlink" Target="https://my.ibisworld.com/no/en/industry/NO-M702/external-environment" TargetMode="External" /><Relationship Id="gemHypRid18" Type="http://schemas.openxmlformats.org/officeDocument/2006/relationships/hyperlink" Target="https://my.ibisworld.com/no/en/industry/NO-M702/financial-benchmarks" TargetMode="External" /><Relationship Id="PictureId19" Type="http://schemas.openxmlformats.org/officeDocument/2006/relationships/image" Target="media/image11.png" /><Relationship Id="gemHypRid20" Type="http://schemas.openxmlformats.org/officeDocument/2006/relationships/hyperlink" Target="https://my.ibisworld.com/no/en/industry/NO-M702/country-benchmarks" TargetMode="External" /><Relationship Id="gemHypRid21" Type="http://schemas.openxmlformats.org/officeDocument/2006/relationships/hyperlink" Target="https://my.ibisworld.com/no/en/industry/NO-M702/key-statistics" TargetMode="External" /><Relationship Id="gemHfRid27" Type="http://schemas.openxmlformats.org/officeDocument/2006/relationships/header" Target="header4.xml" /><Relationship Id="gemHfRid28" Type="http://schemas.openxmlformats.org/officeDocument/2006/relationships/footer" Target="footer4.xml" /><Relationship Id="PictureId22" Type="http://schemas.openxmlformats.org/officeDocument/2006/relationships/image" Target="media/image12.png" /><Relationship Id="gemHfRid30" Type="http://schemas.openxmlformats.org/officeDocument/2006/relationships/header" Target="header5.xml" /><Relationship Id="gemHfRid31"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