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B2A4A"/>
          <w:sz w:val="60"/>
          <w:szCs w:val="60"/>
        </w:rPr>
        <w:t xml:space="preserve">NAVEX CAPITAL</w:t>
      </w:r>
    </w:p>
    <w:p>
      <w:pPr>
        <w:pBdr>
          <w:bottom w:val="single" w:color="B08D2A" w:sz="6" w:space="14"/>
        </w:pBdr>
        <w:spacing w:after="40"/>
        <w:jc w:val="center"/>
      </w:pPr>
      <w:r>
        <w:rPr>
          <w:sz w:val="2"/>
          <w:szCs w:val="2"/>
        </w:rPr>
        <w:t xml:space="preserve"/>
      </w:r>
    </w:p>
    <w:p>
      <w:pPr>
        <w:spacing w:after="60" w:before="140"/>
        <w:jc w:val="center"/>
      </w:pPr>
      <w:r>
        <w:rPr>
          <w:color w:val="1B2A4A"/>
          <w:sz w:val="32"/>
          <w:szCs w:val="32"/>
        </w:rPr>
        <w:t xml:space="preserve">Proposal &amp; Engagement Letter Templates</w:t>
      </w:r>
    </w:p>
    <w:p>
      <w:pPr>
        <w:jc w:val="center"/>
      </w:pPr>
      <w:r>
        <w:rPr>
          <w:i/>
          <w:iCs/>
          <w:color w:val="6A6A6A"/>
          <w:sz w:val="22"/>
          <w:szCs w:val="22"/>
        </w:rPr>
        <w:t xml:space="preserve">Operator-led private equity advisory for maritime, transport &amp; logistics</w:t>
      </w:r>
    </w:p>
    <w:p>
      <w:pPr>
        <w:spacing w:before="2400"/>
        <w:jc w:val="center"/>
      </w:pPr>
      <w:r>
        <w:rPr>
          <w:b/>
          <w:bCs/>
          <w:color w:val="1B2A4A"/>
          <w:sz w:val="20"/>
          <w:szCs w:val="20"/>
        </w:rPr>
        <w:t xml:space="preserve">How to use this document</w:t>
      </w:r>
    </w:p>
    <w:p>
      <w:pPr>
        <w:spacing w:after="30"/>
        <w:jc w:val="center"/>
      </w:pPr>
      <w:r>
        <w:rPr>
          <w:color w:val="6A6A6A"/>
          <w:sz w:val="18"/>
          <w:szCs w:val="18"/>
        </w:rPr>
        <w:t xml:space="preserve">Part 1 is a client proposal. Part 2 is the engagement letter.</w:t>
      </w:r>
    </w:p>
    <w:p>
      <w:pPr>
        <w:spacing w:after="30"/>
        <w:jc w:val="center"/>
      </w:pPr>
      <w:r>
        <w:rPr>
          <w:color w:val="6A6A6A"/>
          <w:sz w:val="18"/>
          <w:szCs w:val="18"/>
        </w:rPr>
        <w:t xml:space="preserve">Text shown in </w:t>
      </w:r>
      <w:r>
        <w:rPr>
          <w:b/>
          <w:bCs/>
          <w:color w:val="B08D2A"/>
          <w:sz w:val="18"/>
          <w:szCs w:val="18"/>
        </w:rPr>
        <w:t xml:space="preserve">gold</w:t>
      </w:r>
      <w:r>
        <w:rPr>
          <w:color w:val="6A6A6A"/>
          <w:sz w:val="18"/>
          <w:szCs w:val="18"/>
        </w:rPr>
        <w:t xml:space="preserve"> is a fill-in placeholder — replace before sending.</w:t>
      </w:r>
    </w:p>
    <w:p>
      <w:pPr>
        <w:jc w:val="center"/>
      </w:pPr>
      <w:r>
        <w:rPr>
          <w:i/>
          <w:iCs/>
          <w:color w:val="6A6A6A"/>
          <w:sz w:val="18"/>
          <w:szCs w:val="18"/>
        </w:rPr>
        <w:t xml:space="preserve">Legal counsel must review Part 2 before first use.</w:t>
      </w:r>
    </w:p>
    <w:p>
      <w:r>
        <w:br w:type="page"/>
      </w:r>
    </w:p>
    <w:p>
      <w:pPr>
        <w:pStyle w:val="Heading1"/>
      </w:pPr>
      <w:r>
        <w:t xml:space="preserve">Part 1 — Proposal Template</w:t>
      </w:r>
    </w:p>
    <w:p>
      <w:pPr>
        <w:pBdr>
          <w:top w:val="single" w:color="D8DEE8" w:sz="2" w:space="6"/>
          <w:bottom w:val="single" w:color="D8DEE8" w:sz="2" w:space="6"/>
          <w:left w:val="single" w:color="B08D2A" w:sz="16" w:space="10"/>
          <w:right w:val="single" w:color="D8DEE8" w:sz="2" w:space="6"/>
        </w:pBdr>
        <w:shd w:fill="F2F5F9" w:val="clear"/>
        <w:spacing w:after="160" w:before="60"/>
        <w:ind w:left="180" w:right="120"/>
      </w:pPr>
      <w:r>
        <w:rPr>
          <w:i/>
          <w:iCs/>
          <w:color w:val="1B2A4A"/>
          <w:sz w:val="18"/>
          <w:szCs w:val="18"/>
        </w:rPr>
        <w:t xml:space="preserve">Use when a sponsor or company has expressed interest. Keep to 4–6 pages. Pricing here is indicative only; final terms belong in the Engagement Letter (Part 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706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[Client / Sponsor name]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706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</w:t>
            </w:r>
          </w:p>
        </w:tc>
        <w:tc>
          <w:tcPr>
            <w:tcW w:type="dxa" w:w="706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[Engagement title — e.g., Operational &amp; Commercial DD of Project Seahorse]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706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Navex Capital LLC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1. Context &amp; Objectives</w:t>
      </w:r>
    </w:p>
    <w:p>
      <w:pPr>
        <w:spacing w:after="130" w:line="280"/>
      </w:pPr>
      <w:r>
        <w:t xml:space="preserve">We understand </w:t>
      </w:r>
      <w:r>
        <w:rPr>
          <w:b/>
          <w:bCs/>
          <w:color w:val="B08D2A"/>
        </w:rPr>
        <w:t xml:space="preserve">[Client]</w:t>
      </w:r>
      <w:r>
        <w:t xml:space="preserve"> is </w:t>
      </w:r>
      <w:r>
        <w:rPr>
          <w:b/>
          <w:bCs/>
          <w:color w:val="B08D2A"/>
        </w:rPr>
        <w:t xml:space="preserve">[evaluating an acquisition of / creating value in / preparing the exit of]</w:t>
      </w:r>
      <w:r>
        <w:t xml:space="preserve"> </w:t>
      </w:r>
      <w:r>
        <w:rPr>
          <w:b/>
          <w:bCs/>
          <w:color w:val="B08D2A"/>
        </w:rPr>
        <w:t xml:space="preserve">[target / platform]</w:t>
      </w:r>
      <w:r>
        <w:t xml:space="preserve">, a </w:t>
      </w:r>
      <w:r>
        <w:rPr>
          <w:b/>
          <w:bCs/>
          <w:color w:val="B08D2A"/>
        </w:rPr>
        <w:t xml:space="preserve">[sub-sector — subsea services / marina / ship repair]</w:t>
      </w:r>
      <w:r>
        <w:t xml:space="preserve"> business. The objective is to </w:t>
      </w:r>
      <w:r>
        <w:rPr>
          <w:b/>
          <w:bCs/>
          <w:color w:val="B08D2A"/>
        </w:rPr>
        <w:t xml:space="preserve">[assess operational and commercial risk and identify value-creation levers]</w:t>
      </w:r>
      <w:r>
        <w:t xml:space="preserve">.</w:t>
      </w:r>
    </w:p>
    <w:p>
      <w:pPr>
        <w:pStyle w:val="Heading2"/>
      </w:pPr>
      <w:r>
        <w:t xml:space="preserve">2. Scope of Work</w:t>
      </w:r>
    </w:p>
    <w:p>
      <w:pPr>
        <w:spacing w:after="130" w:line="280"/>
      </w:pPr>
      <w:r>
        <w:t xml:space="preserve">We propose the following workstreams, tailored from the Navex operator-led DD framework: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</w:rPr>
        <w:t xml:space="preserve">Commercial DD</w:t>
      </w:r>
      <w:r>
        <w:t xml:space="preserve"> — revenue quality, customer concentration, contract portfolio, pricing power, demand drivers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</w:rPr>
        <w:t xml:space="preserve">Operational DD</w:t>
      </w:r>
      <w:r>
        <w:t xml:space="preserve"> — utilization, maintenance/drydock, HSE &amp; compliance, crewing, technical management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</w:rPr>
        <w:t xml:space="preserve">Fleet / Asset DD</w:t>
      </w:r>
      <w:r>
        <w:t xml:space="preserve"> — asset condition, class status, valuation cross-check, capex obligations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</w:rPr>
        <w:t xml:space="preserve">HR &amp; Organization</w:t>
      </w:r>
      <w:r>
        <w:t xml:space="preserve"> — key-person risk, management depth, succession</w:t>
      </w:r>
    </w:p>
    <w:p>
      <w:pPr>
        <w:spacing w:after="130" w:line="280"/>
      </w:pPr>
      <w:r>
        <w:rPr>
          <w:b/>
          <w:bCs/>
        </w:rPr>
        <w:t xml:space="preserve">Out of scope: </w:t>
      </w:r>
      <w:r>
        <w:rPr>
          <w:b/>
          <w:bCs/>
          <w:color w:val="B08D2A"/>
        </w:rPr>
        <w:t xml:space="preserve">[Financial DD / QoE, legal DD, tax]</w:t>
      </w:r>
      <w:r>
        <w:t xml:space="preserve"> — coordinated with the client's other advisors. We complement, and reference, the Financial DD provider.</w:t>
      </w:r>
    </w:p>
    <w:p>
      <w:pPr>
        <w:pStyle w:val="Heading2"/>
      </w:pPr>
      <w:r>
        <w:t xml:space="preserve">3. Our Approach</w:t>
      </w:r>
    </w:p>
    <w:p>
      <w:pPr>
        <w:spacing w:after="130" w:line="280"/>
      </w:pPr>
      <w:r>
        <w:t xml:space="preserve">Navex brings an operator's perspective a generalist or pure financial advisor cannot: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4760"/>
      </w:tblGrid>
      <w:tr>
        <w:trPr>
          <w:tblHeader/>
        </w:trPr>
        <w:tc>
          <w:tcPr>
            <w:tcW w:type="dxa" w:w="70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90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76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Scoping</w:t>
            </w:r>
          </w:p>
        </w:tc>
        <w:tc>
          <w:tcPr>
            <w:tcW w:type="dxa" w:w="476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Confirm critical questions, timeline and data needs (1–2 days)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Data request &amp; desk analysis</w:t>
            </w:r>
          </w:p>
        </w:tc>
        <w:tc>
          <w:tcPr>
            <w:tcW w:type="dxa" w:w="476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Review data room; benchmark KPIs against the sector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Management interviews</w:t>
            </w:r>
          </w:p>
        </w:tc>
        <w:tc>
          <w:tcPr>
            <w:tcW w:type="dxa" w:w="476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Operator-to-operator questions management cannot deflect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Site / asset review</w:t>
            </w:r>
          </w:p>
        </w:tc>
        <w:tc>
          <w:tcPr>
            <w:tcW w:type="dxa" w:w="476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On-the-ground operational and technical assessment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90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Synthesis</w:t>
            </w:r>
          </w:p>
        </w:tc>
        <w:tc>
          <w:tcPr>
            <w:tcW w:type="dxa" w:w="476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Risks, red flags and value-creation levers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390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Report &amp; debrief</w:t>
            </w:r>
          </w:p>
        </w:tc>
        <w:tc>
          <w:tcPr>
            <w:tcW w:type="dxa" w:w="476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Written report and investment-committee debrief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 Deliverables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15–25 page operational &amp; commercial DD report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One-page red-flag summary for the investment committee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100-day value-creation lever list (feeds post-close planning)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B08D2A"/>
        </w:rPr>
        <w:t xml:space="preserve">[Optional]</w:t>
      </w:r>
      <w:r>
        <w:t xml:space="preserve"> investment-committee presentation and debrief call</w:t>
      </w:r>
    </w:p>
    <w:p>
      <w:pPr>
        <w:pStyle w:val="Heading2"/>
      </w:pPr>
      <w:r>
        <w:t xml:space="preserve">5. Timeline</w:t>
      </w:r>
    </w:p>
    <w:p>
      <w:pPr>
        <w:spacing w:after="130" w:line="280"/>
      </w:pPr>
      <w:r>
        <w:t xml:space="preserve">Estimated </w:t>
      </w:r>
      <w:r>
        <w:rPr>
          <w:b/>
          <w:bCs/>
          <w:color w:val="B08D2A"/>
        </w:rPr>
        <w:t xml:space="preserve">[2–4]</w:t>
      </w:r>
      <w:r>
        <w:t xml:space="preserve"> weeks from data access, subject to data-room readiness and management availability.</w:t>
      </w:r>
    </w:p>
    <w:p>
      <w:pPr>
        <w:pStyle w:val="Heading2"/>
      </w:pPr>
      <w:r>
        <w:t xml:space="preserve">6. Team</w:t>
      </w:r>
    </w:p>
    <w:p>
      <w:pPr>
        <w:spacing w:after="130" w:line="280"/>
      </w:pPr>
      <w:r>
        <w:t xml:space="preserve">Led by </w:t>
      </w:r>
      <w:r>
        <w:rPr>
          <w:b/>
          <w:bCs/>
          <w:color w:val="B08D2A"/>
        </w:rPr>
        <w:t xml:space="preserve">[Harun Duzgoren — 25+ years maritime operating CEO/CCO]</w:t>
      </w:r>
      <w:r>
        <w:t xml:space="preserve">, supported by the Navex team across research, due diligence and maritime operations.</w:t>
      </w:r>
    </w:p>
    <w:p>
      <w:pPr>
        <w:pStyle w:val="Heading2"/>
      </w:pPr>
      <w:r>
        <w:t xml:space="preserve">7. Commercial Terms (indicative)</w:t>
      </w:r>
    </w:p>
    <w:p>
      <w:pPr>
        <w:spacing w:after="130" w:line="280"/>
      </w:pPr>
      <w:r>
        <w:t xml:space="preserve">Fixed project fee of </w:t>
      </w:r>
      <w:r>
        <w:rPr>
          <w:b/>
          <w:bCs/>
          <w:color w:val="B08D2A"/>
        </w:rPr>
        <w:t xml:space="preserve">[USD 50,000–150,000 single target; 200,000–500,000 portfolio]</w:t>
      </w:r>
      <w:r>
        <w:t xml:space="preserve">, plus pre-agreed expenses. Final terms and payment schedule are set out in the Engagement Letter.</w:t>
      </w:r>
    </w:p>
    <w:p>
      <w:pPr>
        <w:pStyle w:val="Heading2"/>
      </w:pPr>
      <w:r>
        <w:t xml:space="preserve">8. Why Navex</w:t>
      </w:r>
    </w:p>
    <w:p>
      <w:pPr>
        <w:spacing w:after="130" w:line="280"/>
      </w:pPr>
      <w:r>
        <w:t xml:space="preserve">We are operators, not bankers. Every service reflects work our team has personally executed — bolt-on acquisitions, post-close turnarounds, exits and interim leadership in maritime businesses. We complement Big Four Financial DD with the operational depth they lack, at a fraction of bulge-bracket cost.</w:t>
      </w:r>
    </w:p>
    <w:p>
      <w:pPr>
        <w:pStyle w:val="Heading2"/>
      </w:pPr>
      <w:r>
        <w:t xml:space="preserve">9. Next Steps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Confirm scope and sign the Engagement Letter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Grant data-room access; schedule management interviews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Kick-off within </w:t>
      </w:r>
      <w:r>
        <w:rPr>
          <w:b/>
          <w:bCs/>
          <w:color w:val="B08D2A"/>
        </w:rPr>
        <w:t xml:space="preserve">[X]</w:t>
      </w:r>
      <w:r>
        <w:t xml:space="preserve"> business days</w:t>
      </w:r>
    </w:p>
    <w:p>
      <w:pPr>
        <w:pBdr>
          <w:top w:val="single" w:color="D8DEE8" w:sz="2" w:space="6"/>
          <w:bottom w:val="single" w:color="D8DEE8" w:sz="2" w:space="6"/>
          <w:left w:val="single" w:color="B08D2A" w:sz="16" w:space="10"/>
          <w:right w:val="single" w:color="D8DEE8" w:sz="2" w:space="6"/>
        </w:pBdr>
        <w:shd w:fill="F2F5F9" w:val="clear"/>
        <w:spacing w:after="160" w:before="60"/>
        <w:ind w:left="180" w:right="120"/>
      </w:pPr>
      <w:r>
        <w:rPr>
          <w:i/>
          <w:iCs/>
          <w:color w:val="1B2A4A"/>
          <w:sz w:val="18"/>
          <w:szCs w:val="18"/>
        </w:rPr>
        <w:t xml:space="preserve">Assumptions &amp; exclusions: proposal valid for [30] days; assumes timely data access and management cooperation; excludes third-party report costs.</w:t>
      </w:r>
    </w:p>
    <w:p>
      <w:r>
        <w:br w:type="page"/>
      </w:r>
    </w:p>
    <w:p>
      <w:pPr>
        <w:pStyle w:val="Heading1"/>
      </w:pPr>
      <w:r>
        <w:t xml:space="preserve">Part 2 — Engagement Letter Template</w:t>
      </w:r>
    </w:p>
    <w:p>
      <w:pPr>
        <w:pBdr>
          <w:top w:val="single" w:color="D8DEE8" w:sz="2" w:space="6"/>
          <w:bottom w:val="single" w:color="D8DEE8" w:sz="2" w:space="6"/>
          <w:left w:val="single" w:color="B08D2A" w:sz="16" w:space="10"/>
          <w:right w:val="single" w:color="D8DEE8" w:sz="2" w:space="6"/>
        </w:pBdr>
        <w:shd w:fill="F2F5F9" w:val="clear"/>
        <w:spacing w:after="160" w:before="60"/>
        <w:ind w:left="180" w:right="120"/>
      </w:pPr>
      <w:r>
        <w:rPr>
          <w:i/>
          <w:iCs/>
          <w:color w:val="1B2A4A"/>
          <w:sz w:val="18"/>
          <w:szCs w:val="18"/>
        </w:rPr>
        <w:t xml:space="preserve">DRAFT for legal counsel review before any use. This is a commercial skeleton, not legal advice. Confirm the M&amp;A Broker Exemption and state registration before charging any success fee.</w:t>
      </w:r>
    </w:p>
    <w:p>
      <w:pPr>
        <w:spacing w:after="130" w:line="280"/>
      </w:pPr>
      <w:r>
        <w:t xml:space="preserve">This Engagement Letter is made on </w:t>
      </w:r>
      <w:r>
        <w:rPr>
          <w:b/>
          <w:bCs/>
          <w:color w:val="B08D2A"/>
        </w:rPr>
        <w:t xml:space="preserve">[date]</w:t>
      </w:r>
      <w:r>
        <w:t xml:space="preserve"> between </w:t>
      </w:r>
      <w:r>
        <w:rPr>
          <w:b/>
          <w:bCs/>
          <w:color w:val="B08D2A"/>
        </w:rPr>
        <w:t xml:space="preserve">[Navex Capital LLC]</w:t>
      </w:r>
      <w:r>
        <w:t xml:space="preserve"> ("Navex") and </w:t>
      </w:r>
      <w:r>
        <w:rPr>
          <w:b/>
          <w:bCs/>
          <w:color w:val="B08D2A"/>
        </w:rPr>
        <w:t xml:space="preserve">[Client legal name]</w:t>
      </w:r>
      <w:r>
        <w:t xml:space="preserve"> ("Client").</w:t>
      </w:r>
    </w:p>
    <w:p>
      <w:pPr>
        <w:pStyle w:val="Heading2"/>
      </w:pPr>
      <w:r>
        <w:t xml:space="preserve">1. Services</w:t>
      </w:r>
    </w:p>
    <w:p>
      <w:pPr>
        <w:spacing w:after="130" w:line="280"/>
      </w:pPr>
      <w:r>
        <w:t xml:space="preserve">Navex will provide </w:t>
      </w:r>
      <w:r>
        <w:rPr>
          <w:b/>
          <w:bCs/>
          <w:color w:val="B08D2A"/>
        </w:rPr>
        <w:t xml:space="preserve">[operational &amp; commercial due diligence / value-creation advisory / bolt-on origination / interim leadership]</w:t>
      </w:r>
      <w:r>
        <w:t xml:space="preserve">, as further described in Schedule A.</w:t>
      </w:r>
    </w:p>
    <w:p>
      <w:pPr>
        <w:pStyle w:val="Heading2"/>
      </w:pPr>
      <w:r>
        <w:t xml:space="preserve">2. Term</w:t>
      </w:r>
    </w:p>
    <w:p>
      <w:pPr>
        <w:spacing w:after="130" w:line="280"/>
      </w:pPr>
      <w:r>
        <w:t xml:space="preserve">Commences on </w:t>
      </w:r>
      <w:r>
        <w:rPr>
          <w:b/>
          <w:bCs/>
          <w:color w:val="B08D2A"/>
        </w:rPr>
        <w:t xml:space="preserve">[date]</w:t>
      </w:r>
      <w:r>
        <w:t xml:space="preserve"> and continues until </w:t>
      </w:r>
      <w:r>
        <w:rPr>
          <w:b/>
          <w:bCs/>
          <w:color w:val="B08D2A"/>
        </w:rPr>
        <w:t xml:space="preserve">[completion of services / 12 months]</w:t>
      </w:r>
      <w:r>
        <w:t xml:space="preserve">, unless terminated under Section 9.</w:t>
      </w:r>
    </w:p>
    <w:p>
      <w:pPr>
        <w:pStyle w:val="Heading2"/>
      </w:pPr>
      <w:r>
        <w:t xml:space="preserve">3. Fees</w:t>
      </w:r>
    </w:p>
    <w:p>
      <w:pPr>
        <w:spacing w:after="130" w:line="280"/>
      </w:pPr>
      <w:r>
        <w:rPr>
          <w:b/>
          <w:bCs/>
        </w:rPr>
        <w:t xml:space="preserve">(a) Retainer / project fee — </w:t>
      </w:r>
      <w:r>
        <w:rPr>
          <w:b/>
          <w:bCs/>
          <w:color w:val="B08D2A"/>
        </w:rPr>
        <w:t xml:space="preserve">[USD amount]</w:t>
      </w:r>
      <w:r>
        <w:t xml:space="preserve"> </w:t>
      </w:r>
      <w:r>
        <w:rPr>
          <w:b/>
          <w:bCs/>
          <w:color w:val="B08D2A"/>
        </w:rPr>
        <w:t xml:space="preserve">[per month / fixed]</w:t>
      </w:r>
      <w:r>
        <w:t xml:space="preserve">, invoiced </w:t>
      </w:r>
      <w:r>
        <w:rPr>
          <w:b/>
          <w:bCs/>
          <w:color w:val="B08D2A"/>
        </w:rPr>
        <w:t xml:space="preserve">[monthly / on milestones]</w:t>
      </w:r>
      <w:r>
        <w:t xml:space="preserve">.</w:t>
      </w:r>
    </w:p>
    <w:p>
      <w:pPr>
        <w:spacing w:after="130" w:line="280"/>
      </w:pPr>
      <w:r>
        <w:rPr>
          <w:b/>
          <w:bCs/>
        </w:rPr>
        <w:t xml:space="preserve">(b) Success fee (if applicable) — </w:t>
      </w:r>
      <w:r>
        <w:rPr>
          <w:b/>
          <w:bCs/>
          <w:color w:val="B08D2A"/>
        </w:rPr>
        <w:t xml:space="preserve">[% of transaction value]</w:t>
      </w:r>
      <w:r>
        <w:t xml:space="preserve"> on closing, per the scale below. Retainer credit: </w:t>
      </w:r>
      <w:r>
        <w:rPr>
          <w:b/>
          <w:bCs/>
          <w:color w:val="B08D2A"/>
        </w:rPr>
        <w:t xml:space="preserve">[50–100%]</w:t>
      </w:r>
      <w:r>
        <w:t xml:space="preserve"> of retainers paid is credited against the success fee.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Scale</w:t>
            </w:r>
          </w:p>
        </w:tc>
        <w:tc>
          <w:tcPr>
            <w:tcW w:type="dxa" w:w="646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Modified Lehman</w:t>
            </w:r>
          </w:p>
        </w:tc>
        <w:tc>
          <w:tcPr>
            <w:tcW w:type="dxa" w:w="646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5% of first $1M · 4% of 2nd · 3% of 3rd · 2% of 4th · 1% above $4M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Double Lehman</w:t>
            </w:r>
          </w:p>
        </w:tc>
        <w:tc>
          <w:tcPr>
            <w:tcW w:type="dxa" w:w="646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10% of first $1M · 8% of 2nd · 6% of 3rd · 4% of 4th · 2% above $4M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Minimum fee</w:t>
            </w:r>
          </w:p>
        </w:tc>
        <w:tc>
          <w:tcPr>
            <w:tcW w:type="dxa" w:w="646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[USD 150,000] floor on sub-$10M transactions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30" w:line="280"/>
      </w:pPr>
      <w:r>
        <w:rPr>
          <w:b/>
          <w:bCs/>
        </w:rPr>
        <w:t xml:space="preserve">(c) Tail — </w:t>
      </w:r>
      <w:r>
        <w:t xml:space="preserve">the success fee applies to any transaction with an introduced party that closes within </w:t>
      </w:r>
      <w:r>
        <w:rPr>
          <w:b/>
          <w:bCs/>
          <w:color w:val="B08D2A"/>
        </w:rPr>
        <w:t xml:space="preserve">[6–12]</w:t>
      </w:r>
      <w:r>
        <w:t xml:space="preserve"> months after termination.</w:t>
      </w:r>
    </w:p>
    <w:p>
      <w:pPr>
        <w:pStyle w:val="Heading2"/>
      </w:pPr>
      <w:r>
        <w:t xml:space="preserve">4. Expenses</w:t>
      </w:r>
    </w:p>
    <w:p>
      <w:pPr>
        <w:spacing w:after="130" w:line="280"/>
      </w:pPr>
      <w:r>
        <w:t xml:space="preserve">Client reimburses reasonable, pre-approved out-of-pocket expenses. Items over </w:t>
      </w:r>
      <w:r>
        <w:rPr>
          <w:b/>
          <w:bCs/>
          <w:color w:val="B08D2A"/>
        </w:rPr>
        <w:t xml:space="preserve">[USD amount]</w:t>
      </w:r>
      <w:r>
        <w:t xml:space="preserve"> require prior written approval.</w:t>
      </w:r>
    </w:p>
    <w:p>
      <w:pPr>
        <w:pStyle w:val="Heading2"/>
      </w:pPr>
      <w:r>
        <w:t xml:space="preserve">5. Confidentiality</w:t>
      </w:r>
    </w:p>
    <w:p>
      <w:pPr>
        <w:spacing w:after="130" w:line="280"/>
      </w:pPr>
      <w:r>
        <w:t xml:space="preserve">Each party keeps the other's confidential information secret and uses it only for this engagement. This obligation survives termination.</w:t>
      </w:r>
    </w:p>
    <w:p>
      <w:pPr>
        <w:pStyle w:val="Heading2"/>
      </w:pPr>
      <w:r>
        <w:t xml:space="preserve">6. Conflicts of Interest</w:t>
      </w:r>
    </w:p>
    <w:p>
      <w:pPr>
        <w:spacing w:after="130" w:line="280"/>
      </w:pPr>
      <w:r>
        <w:t xml:space="preserve">Navex maintains information barriers between engagements and </w:t>
      </w:r>
      <w:r>
        <w:rPr>
          <w:b/>
          <w:bCs/>
          <w:color w:val="B08D2A"/>
        </w:rPr>
        <w:t xml:space="preserve">[discloses / confirms no]</w:t>
      </w:r>
      <w:r>
        <w:t xml:space="preserve"> conflicting mandate regarding the target. Where Navex acts in interim or board roles, conflict terms are addressed separately.</w:t>
      </w:r>
    </w:p>
    <w:p>
      <w:pPr>
        <w:pStyle w:val="Heading2"/>
      </w:pPr>
      <w:r>
        <w:t xml:space="preserve">7. Work Product &amp; Intellectual Property</w:t>
      </w:r>
    </w:p>
    <w:p>
      <w:pPr>
        <w:spacing w:after="130" w:line="280"/>
      </w:pPr>
      <w:r>
        <w:t xml:space="preserve">Deliverables are for the Client's internal use for this transaction only and may not be distributed to third parties without Navex's consent. Navex retains its underlying methodologies and templates.</w:t>
      </w:r>
    </w:p>
    <w:p>
      <w:pPr>
        <w:pStyle w:val="Heading2"/>
      </w:pPr>
      <w:r>
        <w:t xml:space="preserve">8. Limitation of Liability</w:t>
      </w:r>
    </w:p>
    <w:p>
      <w:pPr>
        <w:spacing w:after="130" w:line="280"/>
      </w:pPr>
      <w:r>
        <w:t xml:space="preserve">Navex's aggregate liability is limited to </w:t>
      </w:r>
      <w:r>
        <w:rPr>
          <w:b/>
          <w:bCs/>
          <w:color w:val="B08D2A"/>
        </w:rPr>
        <w:t xml:space="preserve">[fees paid under this engagement]</w:t>
      </w:r>
      <w:r>
        <w:t xml:space="preserve">. Navex provides advisory services and is not responsible for the Client's investment decision. </w:t>
      </w:r>
      <w:r>
        <w:rPr>
          <w:i/>
          <w:iCs/>
          <w:color w:val="B08D2A"/>
        </w:rPr>
        <w:t xml:space="preserve">[Counsel to finalize.]</w:t>
      </w:r>
    </w:p>
    <w:p>
      <w:pPr>
        <w:pStyle w:val="Heading2"/>
      </w:pPr>
      <w:r>
        <w:t xml:space="preserve">9. Termination</w:t>
      </w:r>
    </w:p>
    <w:p>
      <w:pPr>
        <w:spacing w:after="130" w:line="280"/>
      </w:pPr>
      <w:r>
        <w:t xml:space="preserve">Either party may terminate on </w:t>
      </w:r>
      <w:r>
        <w:rPr>
          <w:b/>
          <w:bCs/>
          <w:color w:val="B08D2A"/>
        </w:rPr>
        <w:t xml:space="preserve">[14 / 30]</w:t>
      </w:r>
      <w:r>
        <w:t xml:space="preserve"> days' written notice. Fees earned and expenses incurred to the date of termination remain payable; the tail in Section 3(c) survives.</w:t>
      </w:r>
    </w:p>
    <w:p>
      <w:pPr>
        <w:pStyle w:val="Heading2"/>
      </w:pPr>
      <w:r>
        <w:t xml:space="preserve">10. Governing Law</w:t>
      </w:r>
    </w:p>
    <w:p>
      <w:pPr>
        <w:spacing w:after="130" w:line="280"/>
      </w:pPr>
      <w:r>
        <w:t xml:space="preserve">Governed by the laws of </w:t>
      </w:r>
      <w:r>
        <w:rPr>
          <w:b/>
          <w:bCs/>
          <w:color w:val="B08D2A"/>
        </w:rPr>
        <w:t xml:space="preserve">[State of Florida, USA]</w:t>
      </w:r>
      <w:r>
        <w:t xml:space="preserve">. Disputes are resolved by </w:t>
      </w:r>
      <w:r>
        <w:rPr>
          <w:b/>
          <w:bCs/>
          <w:color w:val="B08D2A"/>
        </w:rPr>
        <w:t xml:space="preserve">[arbitration / the courts of …]</w:t>
      </w:r>
      <w:r>
        <w:t xml:space="preserve">.</w:t>
      </w:r>
    </w:p>
    <w:p>
      <w:pPr>
        <w:pStyle w:val="Heading2"/>
      </w:pPr>
      <w:r>
        <w:t xml:space="preserve">11. Regulatory</w:t>
      </w:r>
    </w:p>
    <w:p>
      <w:pPr>
        <w:pBdr>
          <w:top w:val="single" w:color="D8DEE8" w:sz="2" w:space="6"/>
          <w:bottom w:val="single" w:color="D8DEE8" w:sz="2" w:space="6"/>
          <w:left w:val="single" w:color="B08D2A" w:sz="16" w:space="10"/>
          <w:right w:val="single" w:color="D8DEE8" w:sz="2" w:space="6"/>
        </w:pBdr>
        <w:shd w:fill="F2F5F9" w:val="clear"/>
        <w:spacing w:after="160" w:before="60"/>
        <w:ind w:left="180" w:right="120"/>
      </w:pPr>
      <w:r>
        <w:rPr>
          <w:i/>
          <w:iCs/>
          <w:color w:val="1B2A4A"/>
          <w:sz w:val="18"/>
          <w:szCs w:val="18"/>
        </w:rPr>
        <w:t xml:space="preserve">Confirm before signing: for transaction success fees, confirm the federal M&amp;A Broker Exemption applies (target EBITDA &lt; $25M or revenue &lt; $250M) and check state registration. Route larger transactions or capital raising through a registered broker-dealer.</w:t>
      </w:r>
    </w:p>
    <w:p>
      <w:pPr>
        <w:pStyle w:val="Heading2"/>
      </w:pPr>
      <w:r>
        <w:t xml:space="preserve">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 Navex Capital LLC</w:t>
            </w:r>
          </w:p>
        </w:tc>
        <w:tc>
          <w:tcPr>
            <w:tcW w:type="dxa" w:w="468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 [Client]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Name: ______________________</w:t>
            </w:r>
          </w:p>
        </w:tc>
        <w:tc>
          <w:tcPr>
            <w:tcW w:type="dxa" w:w="468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Name: ______________________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Title: ______________________</w:t>
            </w:r>
          </w:p>
        </w:tc>
        <w:tc>
          <w:tcPr>
            <w:tcW w:type="dxa" w:w="468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Title: ______________________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Date: ______________________</w:t>
            </w:r>
          </w:p>
        </w:tc>
        <w:tc>
          <w:tcPr>
            <w:tcW w:type="dxa" w:w="4680"/>
            <w:tcBorders>
              <w:top w:val="single" w:color="D8DEE8" w:sz="2"/>
              <w:left w:val="single" w:color="D8DEE8" w:sz="2"/>
              <w:bottom w:val="single" w:color="D8DEE8" w:sz="2"/>
              <w:right w:val="single" w:color="D8DEE8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Date: ______________________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EE8" w:sz="4" w:space="6"/>
      </w:pBdr>
      <w:jc w:val="center"/>
    </w:pPr>
    <w:r>
      <w:rPr>
        <w:color w:val="6A6A6A"/>
        <w:sz w:val="15"/>
        <w:szCs w:val="15"/>
      </w:rPr>
      <w:t xml:space="preserve">Page </w:t>
    </w:r>
    <w:r>
      <w:rPr>
        <w:color w:val="6A6A6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A6A6A"/>
        <w:sz w:val="15"/>
        <w:szCs w:val="15"/>
      </w:rPr>
      <w:t xml:space="preserve"> of </w:t>
    </w:r>
    <w:r>
      <w:rPr>
        <w:color w:val="6A6A6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8D2A" w:sz="4" w:space="6"/>
      </w:pBdr>
      <w:tabs>
        <w:tab w:val="right" w:pos="9360"/>
      </w:tabs>
    </w:pPr>
    <w:r>
      <w:rPr>
        <w:b/>
        <w:bCs/>
        <w:color w:val="1B2A4A"/>
        <w:sz w:val="16"/>
        <w:szCs w:val="16"/>
      </w:rPr>
      <w:t xml:space="preserve">NAVEX CAPITAL</w:t>
    </w:r>
    <w:r>
      <w:rPr>
        <w:color w:val="6A6A6A"/>
        <w:sz w:val="15"/>
        <w:szCs w:val="15"/>
      </w:rPr>
      <w:t xml:space="preserve">	Confidential — Template (Draft)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60"/>
      </w:pPr>
      <w:rPr>
        <w:color w:val="B08D2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08D2A" w:sz="8" w:space="5"/>
      </w:pBdr>
      <w:spacing w:after="150" w:before="300"/>
    </w:pPr>
    <w:rPr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2026-06-26T17:52:49.229Z</dcterms:created>
  <dcterms:modified xsi:type="dcterms:W3CDTF">2026-06-26T17:52:49.244Z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