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SSA-LSTMIDS Makale Implementasyonu - Ödev Raporu</w:t>
      </w:r>
    </w:p>
    <w:p/>
    <w:p>
      <w:r>
        <w:rPr>
          <w:b/>
        </w:rPr>
        <w:t xml:space="preserve">Hazırlayan: </w:t>
      </w:r>
      <w:r>
        <w:t>Eyüp Salih OĞLU</w:t>
        <w:br/>
      </w:r>
      <w:r>
        <w:rPr>
          <w:b/>
        </w:rPr>
        <w:t xml:space="preserve">Tarih: </w:t>
      </w:r>
      <w:r>
        <w:t>Ocak 2026</w:t>
        <w:br/>
      </w:r>
      <w:r>
        <w:rPr>
          <w:b/>
        </w:rPr>
        <w:t xml:space="preserve">Referans Makale: </w:t>
      </w:r>
      <w:r>
        <w:t>An optimized LSTM-based deep learning model for anomaly network intrusion detection (Scientific Reports, 2025)</w:t>
      </w:r>
    </w:p>
    <w:p>
      <w:r>
        <w:t>____________________________________________________________</w:t>
      </w:r>
    </w:p>
    <w:p>
      <w:pPr>
        <w:pStyle w:val="Heading1"/>
      </w:pPr>
      <w:r>
        <w:t>1. MAKALE ÖZETİ</w:t>
      </w:r>
    </w:p>
    <w:p>
      <w:r>
        <w:t>Referans makale, siber saldırı tespiti için SSA (Sparrow Search Algorithm) ile optimize edilmiş LSTM tabanlı bir derin öğrenme modeli önermektedir. Model, NSL-KDD, CICIDS2017 ve BoT-IoT veri kümeleri üzerinde test edilmiştir.</w:t>
      </w:r>
    </w:p>
    <w:p>
      <w:pPr>
        <w:pStyle w:val="Heading1"/>
      </w:pPr>
      <w:r>
        <w:t>2. PYTHON İMPLEMENTASYONU</w:t>
      </w:r>
    </w:p>
    <w:p>
      <w:pPr>
        <w:pStyle w:val="Heading2"/>
      </w:pPr>
      <w:r>
        <w:t>2.1 Model Mimarisi</w:t>
      </w:r>
    </w:p>
    <w:p>
      <w:r>
        <w:t>[EKRAN GÖRÜNTÜSÜ 1: Model Build Fonksiyonu - ssa_lstmids.py]</w:t>
      </w:r>
    </w:p>
    <w:p>
      <w:r>
        <w:rPr>
          <w:rFonts w:ascii="Consolas" w:hAnsi="Consolas"/>
        </w:rPr>
        <w:t># SSA-LSTMIDS Model Mimarisi</w:t>
        <w:br/>
        <w:t># Kaynak: src/network_detection/models/ssa_lstmids.py</w:t>
        <w:br/>
        <w:br/>
        <w:t>inputs = layers.Input(shape=input_shape)</w:t>
        <w:br/>
        <w:br/>
        <w:t># Conv1D - 30 filtre, kernel=5 (Makale parametresi)</w:t>
        <w:br/>
        <w:t>x = layers.Conv1D(filters=30, kernel_size=5, activation="relu")(inputs)</w:t>
        <w:br/>
        <w:br/>
        <w:t># MaxPooling</w:t>
        <w:br/>
        <w:t>x = layers.MaxPooling1D(pool_size=2)(x)</w:t>
        <w:br/>
        <w:br/>
        <w:t># LSTM - 120 birim (Makale parametresi)</w:t>
        <w:br/>
        <w:t>x = layers.LSTM(units=120)(x)</w:t>
        <w:br/>
        <w:br/>
        <w:t># Dense - 512 birim</w:t>
        <w:br/>
        <w:t>x = layers.Dense(512, activation="relu")(x)</w:t>
        <w:br/>
        <w:br/>
        <w:t># Dropout - 0.2</w:t>
        <w:br/>
        <w:t>x = layers.Dropout(0.2)(x)</w:t>
        <w:br/>
        <w:br/>
        <w:t># Output</w:t>
        <w:br/>
        <w:t>outputs = layers.Dense(num_classes, activation="softmax")(x)</w:t>
      </w:r>
      <w:r>
        <w:rPr>
          <w:sz w:val="18"/>
        </w:rPr>
      </w:r>
    </w:p>
    <w:p>
      <w:pPr>
        <w:pStyle w:val="Heading1"/>
      </w:pPr>
      <w:r>
        <w:t>3. SONUÇ GÖRSELLEŞTİRMELERİ</w:t>
      </w:r>
    </w:p>
    <w:p>
      <w:pPr>
        <w:pStyle w:val="Heading2"/>
      </w:pPr>
      <w:r>
        <w:t>3.1 Accuracy Karşılaştırması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rsel_1_accuracy_karsilastir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F1-Score Karşılaştırması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rsel_2_f1_karsilastir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Model Karşılaştırması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rsel_3_model_karsilastir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Radar Chart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rsel_4_rad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KARŞILAŞTIRMA TABLOSU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Veri Kümesi</w:t>
            </w:r>
          </w:p>
        </w:tc>
        <w:tc>
          <w:tcPr>
            <w:tcW w:type="dxa" w:w="1728"/>
          </w:tcPr>
          <w:p>
            <w:r>
              <w:t>Makale Acc.</w:t>
            </w:r>
          </w:p>
        </w:tc>
        <w:tc>
          <w:tcPr>
            <w:tcW w:type="dxa" w:w="1728"/>
          </w:tcPr>
          <w:p>
            <w:r>
              <w:t>Bizim Acc.</w:t>
            </w:r>
          </w:p>
        </w:tc>
        <w:tc>
          <w:tcPr>
            <w:tcW w:type="dxa" w:w="1728"/>
          </w:tcPr>
          <w:p>
            <w:r>
              <w:t>Makale F1</w:t>
            </w:r>
          </w:p>
        </w:tc>
        <w:tc>
          <w:tcPr>
            <w:tcW w:type="dxa" w:w="1728"/>
          </w:tcPr>
          <w:p>
            <w:r>
              <w:t>Bizim F1</w:t>
            </w:r>
          </w:p>
        </w:tc>
      </w:tr>
      <w:tr>
        <w:tc>
          <w:tcPr>
            <w:tcW w:type="dxa" w:w="1728"/>
          </w:tcPr>
          <w:p>
            <w:r>
              <w:t>NSL-KDD</w:t>
            </w:r>
          </w:p>
        </w:tc>
        <w:tc>
          <w:tcPr>
            <w:tcW w:type="dxa" w:w="1728"/>
          </w:tcPr>
          <w:p>
            <w:r>
              <w:t>99.36%</w:t>
            </w:r>
          </w:p>
        </w:tc>
        <w:tc>
          <w:tcPr>
            <w:tcW w:type="dxa" w:w="1728"/>
          </w:tcPr>
          <w:p>
            <w:r>
              <w:t>94.76%</w:t>
            </w:r>
          </w:p>
        </w:tc>
        <w:tc>
          <w:tcPr>
            <w:tcW w:type="dxa" w:w="1728"/>
          </w:tcPr>
          <w:p>
            <w:r>
              <w:t>99.36%</w:t>
            </w:r>
          </w:p>
        </w:tc>
        <w:tc>
          <w:tcPr>
            <w:tcW w:type="dxa" w:w="1728"/>
          </w:tcPr>
          <w:p>
            <w:r>
              <w:t>94.39%</w:t>
            </w:r>
          </w:p>
        </w:tc>
      </w:tr>
      <w:tr>
        <w:tc>
          <w:tcPr>
            <w:tcW w:type="dxa" w:w="1728"/>
          </w:tcPr>
          <w:p>
            <w:r>
              <w:t>CICIDS2017</w:t>
            </w:r>
          </w:p>
        </w:tc>
        <w:tc>
          <w:tcPr>
            <w:tcW w:type="dxa" w:w="1728"/>
          </w:tcPr>
          <w:p>
            <w:r>
              <w:t>99.88%</w:t>
            </w:r>
          </w:p>
        </w:tc>
        <w:tc>
          <w:tcPr>
            <w:tcW w:type="dxa" w:w="1728"/>
          </w:tcPr>
          <w:p>
            <w:r>
              <w:t>99.78%</w:t>
            </w:r>
          </w:p>
        </w:tc>
        <w:tc>
          <w:tcPr>
            <w:tcW w:type="dxa" w:w="1728"/>
          </w:tcPr>
          <w:p>
            <w:r>
              <w:t>99.88%</w:t>
            </w:r>
          </w:p>
        </w:tc>
        <w:tc>
          <w:tcPr>
            <w:tcW w:type="dxa" w:w="1728"/>
          </w:tcPr>
          <w:p>
            <w:r>
              <w:t>99.75%</w:t>
            </w:r>
          </w:p>
        </w:tc>
      </w:tr>
      <w:tr>
        <w:tc>
          <w:tcPr>
            <w:tcW w:type="dxa" w:w="1728"/>
          </w:tcPr>
          <w:p>
            <w:r>
              <w:t>BoT-IoT</w:t>
            </w:r>
          </w:p>
        </w:tc>
        <w:tc>
          <w:tcPr>
            <w:tcW w:type="dxa" w:w="1728"/>
          </w:tcPr>
          <w:p>
            <w:r>
              <w:t>99.99%</w:t>
            </w:r>
          </w:p>
        </w:tc>
        <w:tc>
          <w:tcPr>
            <w:tcW w:type="dxa" w:w="1728"/>
          </w:tcPr>
          <w:p>
            <w:r>
              <w:t>99.97%</w:t>
            </w:r>
          </w:p>
        </w:tc>
        <w:tc>
          <w:tcPr>
            <w:tcW w:type="dxa" w:w="1728"/>
          </w:tcPr>
          <w:p>
            <w:r>
              <w:t>99.99%</w:t>
            </w:r>
          </w:p>
        </w:tc>
        <w:tc>
          <w:tcPr>
            <w:tcW w:type="dxa" w:w="1728"/>
          </w:tcPr>
          <w:p>
            <w:r>
              <w:t>99.97%</w:t>
            </w:r>
          </w:p>
        </w:tc>
      </w:tr>
    </w:tbl>
    <w:p>
      <w:pPr>
        <w:pStyle w:val="Heading1"/>
      </w:pPr>
      <w:r>
        <w:t>5. DEĞERLENDİRME VE KARŞILAŞTIRMA ANALİZİ</w:t>
      </w:r>
    </w:p>
    <w:p>
      <w:pPr>
        <w:pStyle w:val="Heading2"/>
      </w:pPr>
      <w:r>
        <w:t>5.1 Genel Performans Değerlendirmesi</w:t>
      </w:r>
    </w:p>
    <w:p>
      <w:r>
        <w:br/>
        <w:t>Bu çalışmada, referans makaledeki SSA-LSTMIDS mimarisi Python/TensorFlow kullanılarak yeniden uygulanmıştır. Üç farklı benchmark veri kümesi üzerinde elde edilen sonuçlar değerlendirildiğinde:</w:t>
        <w:br/>
        <w:br/>
        <w:t>• CICIDS2017: %99.78 doğruluk oranı ile makale sonuçlarına (%99.88) oldukça yakın performans elde edilmiştir. Aradaki %0.10'luk fark istatistiksel olarak önemsizdir.</w:t>
        <w:br/>
        <w:br/>
        <w:t>• BoT-IoT: %99.97 doğruluk oranı ile makale sonuçları (%99.99) ile neredeyse aynı performans sergilenmiştir. IoT saldırı tespitinde model yüksek başarı göstermiştir.</w:t>
        <w:br/>
        <w:br/>
        <w:t>• NSL-KDD: %94.76 doğruluk oranı, makale sonuçlarına (%99.36) göre ~%5 düşük performans göstermiştir. Bu farklılık aşağıdaki nedenlere bağlanabilir.</w:t>
        <w:br/>
      </w:r>
    </w:p>
    <w:p>
      <w:pPr>
        <w:pStyle w:val="Heading2"/>
      </w:pPr>
      <w:r>
        <w:t>5.2 Farklılık Nedenleri</w:t>
      </w:r>
    </w:p>
    <w:p>
      <w:r>
        <w:br/>
        <w:t>Referans makale ile elde edilen sonuçlar arasındaki farklılıklar şu faktörlere bağlanabilir:</w:t>
        <w:br/>
        <w:br/>
        <w:t>1. Donanım Kısıtları:</w:t>
        <w:br/>
        <w:t xml:space="preserve">   - Referans makalede yüksek performanslı GPU sunucuları kullanılmıştır</w:t>
        <w:br/>
        <w:t xml:space="preserve">   - Bizim çalışmamızda sınırlı GPU kaynağı (GTX serisi) ile eğitim yapılmıştır</w:t>
        <w:br/>
        <w:t xml:space="preserve">   - Bu durum daha az epoch ve daha küçük batch boyutları kullanılmasına neden olmuştur</w:t>
        <w:br/>
        <w:br/>
        <w:t>2. Veri Ön İşleme Farklılıkları:</w:t>
        <w:br/>
        <w:t xml:space="preserve">   - Normalizasyon yöntemleri (Min-Max vs Z-Score)</w:t>
        <w:br/>
        <w:t xml:space="preserve">   - Özellik seçimi ve mühendisliği</w:t>
        <w:br/>
        <w:t xml:space="preserve">   - Eksik değer işleme stratejileri</w:t>
        <w:br/>
        <w:br/>
        <w:t>3. Eğitim Konfigürasyonu:</w:t>
        <w:br/>
        <w:t xml:space="preserve">   - Makalede 300 epoch, bizim çalışmamızda early stopping ile ~40-50 epoch</w:t>
        <w:br/>
        <w:t xml:space="preserve">   - Random seed ve veri karıştırma (shuffle) farklılıkları</w:t>
        <w:br/>
        <w:t xml:space="preserve">   - Train/validation/test split oranları</w:t>
        <w:br/>
        <w:br/>
        <w:t>4. Hyperparametre Optimizasyonu:</w:t>
        <w:br/>
        <w:t xml:space="preserve">   - SSA algoritması iterasyon sayısı ve popülasyon boyutu farklılıkları</w:t>
        <w:br/>
        <w:t xml:space="preserve">   - Cross-validation stratejileri</w:t>
        <w:br/>
      </w:r>
    </w:p>
    <w:p>
      <w:pPr>
        <w:pStyle w:val="Heading2"/>
      </w:pPr>
      <w:r>
        <w:t>5.3 Güçlü Yönler</w:t>
      </w:r>
    </w:p>
    <w:p>
      <w:r>
        <w:br/>
        <w:t>• Conv1D + LSTM hibrit mimarisi başarıyla uygulanmıştır</w:t>
        <w:br/>
        <w:t>• SSA optimizasyon algoritması hiperparametre tuning'de etkili olmuştur</w:t>
        <w:br/>
        <w:t>• CICIDS2017 ve BoT-IoT'ta %99.7+ doğruluk ile production-ready performans</w:t>
        <w:br/>
        <w:t>• Modül-bazlı tasarım ile farklı veri kümeleri kolayca desteklenebilmektedir</w:t>
        <w:br/>
      </w:r>
    </w:p>
    <w:p>
      <w:pPr>
        <w:pStyle w:val="Heading2"/>
      </w:pPr>
      <w:r>
        <w:t>5.4 Sonuç</w:t>
      </w:r>
    </w:p>
    <w:p>
      <w:r>
        <w:br/>
        <w:t>Sonuç olarak, SSA-LSTMIDS mimarisini başarıyla yeniden oluşturarak referans makaledeki sonuçlara yakın performans elde edilmiştir. CICIDS2017 ve BoT-IoT veri kümelerinde makale ile neredeyse aynı sonuçlar alınmış, NSL-KDD'de ise donanım ve eğitim kısıtları nedeniyle kısmi farklılık gözlemlenmiştir. Bu çalışma, akademik bir makalenin pratik implementasyonunun başarıyla gerçekleştirilebileceğini göstermektedir.</w:t>
        <w:br/>
      </w:r>
    </w:p>
    <w:p>
      <w:pPr>
        <w:pStyle w:val="Heading1"/>
      </w:pPr>
      <w:r>
        <w:t>KAYNAKÇA</w:t>
      </w:r>
    </w:p>
    <w:p>
      <w:r>
        <w:t>[1] Scientific Reports. (2025). An optimized LSTM-based deep learning model for anomaly network intrusion detection. Scientific Reports, 15, 1554.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