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Derin Öğrenme Tabanlı Siber Saldırı Tespit Sistemi: CyberGuard AI Platformu</w:t>
      </w:r>
    </w:p>
    <w:p>
      <w:r>
        <w:t xml:space="preserve">Hazırlayan: Eyüp Salih OĞLU  </w:t>
      </w:r>
    </w:p>
    <w:p>
      <w:r>
        <w:t xml:space="preserve">Tarih: Ocak 2026  </w:t>
      </w:r>
    </w:p>
    <w:p>
      <w:r>
        <w:t>Ders: Yönetim Bilişim Sistemleri</w:t>
      </w:r>
    </w:p>
    <w:p>
      <w:pPr>
        <w:pStyle w:val="Heading1"/>
      </w:pPr>
      <w:r>
        <w:t>ÖZET</w:t>
      </w:r>
    </w:p>
    <w:p>
      <w:r>
        <w:t>Bu çalışmada, ağ trafiğindeki siber saldırıları tespit etmek amacıyla Serçe Arama Algoritması (SSA) ile optimize edilmiş LSTM tabanlı bir derin öğrenme modeli ve bunu kapsayan CyberGuard AI platformu geliştirilmiştir. Sistem, NSL-KDD, CICIDS2017 ve BoT-IoT veri kümeleri üzerinde test edilmiş olup sırasıyla %99,36, %99,88 ve %99,99 doğruluk oranları elde edilmiştir. Platform; 34 etkileşimli web sayfası, 150'den fazla API uç noktası ve yapay zeka destekli güvenlik asistanı içermektedir.</w:t>
      </w:r>
    </w:p>
    <w:p>
      <w:r>
        <w:t>Anahtar Kelimeler: Siber güvenlik, LSTM, SSA, saldırı tespit sistemi, derin öğrenme</w:t>
      </w:r>
    </w:p>
    <w:p>
      <w:pPr>
        <w:pStyle w:val="Heading1"/>
      </w:pPr>
      <w:r>
        <w:t>1. GİRİŞ</w:t>
      </w:r>
    </w:p>
    <w:p>
      <w:r>
        <w:t>Dijital dönüşümün hızlanmasıyla birlikte siber saldırılar hem sayı hem de karmaşıklık açısından ciddi boyutlara ulaşmıştır. Uluslararası raporlara göre 2024 yılında siber suçların küresel maliyeti 10 trilyon doları aşmıştır [1]. Fidye yazılımları, DDoS saldırıları ve veri ihlalleri kurumların karşılaştığı başlıca tehditler arasında yer almaktadır.</w:t>
      </w:r>
    </w:p>
    <w:p>
      <w:r>
        <w:t>Geleneksel saldırı tespit sistemleri (IDS), önceden tanımlanmış imzaları kullanarak bilinen saldırıları tespit etmektedir. Ancak bu yaklaşım, daha önce görülmemiş saldırı türleri karşısında yetersiz kalmaktadır [2]. Sıfır-gün saldırıları ve gelişmiş kalıcı tehditler (APT), imza tabanlı sistemlerin tespit edemediği kritik güvenlik açıklarına yol açmaktadır.</w:t>
      </w:r>
    </w:p>
    <w:p>
      <w:r>
        <w:t>Bu çalışmada, Xue ve Shen [3] tarafından önerilen Serçe Arama Algoritması ile optimize edilmiş LSTM mimarisi temel alınmıştır. Scientific Reports dergisinde yayımlanan SSA-LSTMIDS çalışması [4] referans alınarak, akademik modelin endüstriyel bir platforma dönüştürülmesi hedeflenmiştir.</w:t>
      </w:r>
    </w:p>
    <w:p>
      <w:r>
        <w:t>Çalışmanın temel katkıları şunlardır:</w:t>
      </w:r>
    </w:p>
    <w:p>
      <w:r>
        <w:t>1. SSA-LSTM hibrit modeli ile yüksek doğruluklu saldırı tespiti</w:t>
      </w:r>
    </w:p>
    <w:p>
      <w:r>
        <w:t>2. 34 sayfalık modern web arayüzü</w:t>
      </w:r>
    </w:p>
    <w:p>
      <w:r>
        <w:t>3. 150+ API ile sistem entegrasyonu</w:t>
      </w:r>
    </w:p>
    <w:p>
      <w:r>
        <w:t>4. Gerçek zamanlı 3D saldırı görselleştirmesi</w:t>
      </w:r>
    </w:p>
    <w:p>
      <w:r>
        <w:t>5. Çoklu LLM destekli yapay zeka asistanı</w:t>
      </w:r>
    </w:p>
    <w:p>
      <w:pPr>
        <w:pStyle w:val="Heading1"/>
      </w:pPr>
      <w:r>
        <w:t>2. YÖNTEM</w:t>
      </w:r>
    </w:p>
    <w:p>
      <w:pPr>
        <w:pStyle w:val="Heading2"/>
      </w:pPr>
      <w:r>
        <w:t>2.1 Veri Kümeleri</w:t>
      </w:r>
    </w:p>
    <w:p>
      <w:r>
        <w:t>Bu çalışmada üç referans veri kümesi kullanılmıştır:</w:t>
      </w:r>
    </w:p>
    <w:p>
      <w:r>
        <w:t>NSL-KDD: Tavallaee ve arkadaşları [5] tarafından KDD Cup 1999 veri kümesinin iyileştirilmesiyle oluşturulmuştur. 125.973 eğitim ve 22.544 test kaydı içermektedir. DoS, Probe, R2L ve U2R olmak üzere dört saldırı kategorisi bulunmaktadır.</w:t>
      </w:r>
    </w:p>
    <w:p>
      <w:r>
        <w:t>CICIDS2017: Kanada Siber Güvenlik Enstitüsü tarafından oluşturulan bu veri kümesi [6], 2,83 milyon kayıt ve 84 özellik içermektedir. Brute Force, DoS, DDoS, Web saldırıları ve Botnet gibi güncel saldırı türlerini kapsamaktadır.</w:t>
      </w:r>
    </w:p>
    <w:p>
      <w:r>
        <w:t>BoT-IoT: UNSW Sydney tarafından geliştirilen bu veri kümesi [7], IoT cihazlarına yönelik saldırıları simüle etmekte olup 73 milyon kayıt içermektedir.</w:t>
      </w:r>
    </w:p>
    <w:p>
      <w:pPr>
        <w:pStyle w:val="Heading2"/>
      </w:pPr>
      <w:r>
        <w:t>2.2 Veri Ön İşleme</w:t>
      </w:r>
    </w:p>
    <w:p>
      <w:r>
        <w:t>Veriler modele verilmeden önce aşağıdaki ön işleme adımlarından geçirilmiştir:</w:t>
      </w:r>
    </w:p>
    <w:p>
      <w:r>
        <w:t>- Normalizasyon: Min-Max ölçekleme ile tüm değerler [0,1] aralığına dönüştürülmüştür.</w:t>
      </w:r>
    </w:p>
    <w:p>
      <w:r>
        <w:t>- SMOTE: Sınıf dengesizliğini gidermek için sentetik azınlık örnekleme tekniği uygulanmıştır [8].</w:t>
      </w:r>
    </w:p>
    <w:p>
      <w:r>
        <w:t>- Veri Bölümleme: Veri kümesi %80 eğitim ve %20 test olarak ayrılmıştır.</w:t>
      </w:r>
    </w:p>
    <w:p>
      <w:pPr>
        <w:pStyle w:val="Heading2"/>
      </w:pPr>
      <w:r>
        <w:t>2.3 Model Mimarisi</w:t>
      </w:r>
    </w:p>
    <w:p>
      <w:r>
        <w:t>Önerilen model, evrişim ve LSTM katmanlarının kombinasyonundan oluşmaktadır:</w:t>
      </w:r>
    </w:p>
    <w:p>
      <w:pPr/>
      <w:r>
        <w:rPr>
          <w:rFonts w:ascii="Consolas" w:hAnsi="Consolas"/>
          <w:sz w:val="20"/>
        </w:rPr>
        <w:t>Giriş → Conv1D(30 filtre) → MaxPooling → LSTM(120 birim) → Dense(512) → Dropout(0.2) → Çıkış</w:t>
      </w:r>
    </w:p>
    <w:p>
      <w:r>
        <w:t>Conv1D Katmanı: Yerel zamansal örüntülerin çıkarılması için 30 filtre ve 3 çekirdek boyutu kullanılmıştır.</w:t>
      </w:r>
    </w:p>
    <w:p>
      <w:r>
        <w:t>LSTM Katmanı: Hochreiter ve Schmidhuber [9] tarafından geliştirilen LSTM mimarisi, uzun vadeli bağımlılıkları öğrenme kapasitesiyle ağ trafiği analizinde etkili sonuçlar vermektedir. Bu çalışmada 120 birimlik tek katmanlı LSTM kullanılmıştır.</w:t>
      </w:r>
    </w:p>
    <w:p>
      <w:r>
        <w:t>Dropout: Aşırı öğrenmeyi önlemek için %20 oranında dropout uygulanmıştır.</w:t>
      </w:r>
    </w:p>
    <w:p>
      <w:pPr>
        <w:pStyle w:val="Heading2"/>
      </w:pPr>
      <w:r>
        <w:t>2.4 SSA Optimizasyonu</w:t>
      </w:r>
    </w:p>
    <w:p>
      <w:r>
        <w:t>Serçe Arama Algoritması (SSA), Xue ve Shen [3] tarafından 2020 yılında önerilmiştir. Algoritma, serçelerin yiyecek arama davranışlarından esinlenmektedir. Üretici, takipçi ve gözcü rollerindeki bireyler aracılığıyla optimizasyon gerçekleştirilmektedir.</w:t>
      </w:r>
    </w:p>
    <w:p>
      <w:r>
        <w:t>SSA ile optimize edilen hiperparametreler: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Parametre</w:t>
            </w:r>
          </w:p>
        </w:tc>
        <w:tc>
          <w:tcPr>
            <w:tcW w:type="dxa" w:w="2880"/>
          </w:tcPr>
          <w:p>
            <w:r>
              <w:t>Aralık</w:t>
            </w:r>
          </w:p>
        </w:tc>
        <w:tc>
          <w:tcPr>
            <w:tcW w:type="dxa" w:w="2880"/>
          </w:tcPr>
          <w:p>
            <w:r>
              <w:t>Optimal Değer</w:t>
            </w:r>
          </w:p>
        </w:tc>
      </w:tr>
      <w:tr>
        <w:tc>
          <w:tcPr>
            <w:tcW w:type="dxa" w:w="2880"/>
          </w:tcPr>
          <w:p>
            <w:r>
              <w:t>LSTM birimleri</w:t>
            </w:r>
          </w:p>
        </w:tc>
        <w:tc>
          <w:tcPr>
            <w:tcW w:type="dxa" w:w="2880"/>
          </w:tcPr>
          <w:p>
            <w:r>
              <w:t>[50, 200]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Conv filtreleri</w:t>
            </w:r>
          </w:p>
        </w:tc>
        <w:tc>
          <w:tcPr>
            <w:tcW w:type="dxa" w:w="2880"/>
          </w:tcPr>
          <w:p>
            <w:r>
              <w:t>[16, 64]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Batch boyutu</w:t>
            </w:r>
          </w:p>
        </w:tc>
        <w:tc>
          <w:tcPr>
            <w:tcW w:type="dxa" w:w="2880"/>
          </w:tcPr>
          <w:p>
            <w:r>
              <w:t>[32, 256]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Öğrenme oranı</w:t>
            </w:r>
          </w:p>
        </w:tc>
        <w:tc>
          <w:tcPr>
            <w:tcW w:type="dxa" w:w="2880"/>
          </w:tcPr>
          <w:p>
            <w:r>
              <w:t>[0.0001, 0.01]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</w:tr>
    </w:tbl>
    <w:p/>
    <w:p>
      <w:pPr>
        <w:pStyle w:val="Heading1"/>
      </w:pPr>
      <w:r>
        <w:t>3. SİSTEM TASARIMI</w:t>
      </w:r>
    </w:p>
    <w:p>
      <w:pPr>
        <w:pStyle w:val="Heading2"/>
      </w:pPr>
      <w:r>
        <w:t>3.1 Genel Mimari</w:t>
      </w:r>
    </w:p>
    <w:p>
      <w:r>
        <w:t>CyberGuard AI platformu üç katmanlı bir mimariye sahiptir:</w:t>
      </w:r>
    </w:p>
    <w:p>
      <w:pPr/>
      <w:r>
        <w:rPr>
          <w:rFonts w:ascii="Consolas" w:hAnsi="Consolas"/>
          <w:sz w:val="20"/>
        </w:rPr>
        <w:t>┌────────────────────┐     ┌────────────────────┐     ┌────────────────────┐</w:t>
        <w:br/>
        <w:t>│     FRONTEND       │◄───►│      BACKEND       │◄───►│     ML ENGINE      │</w:t>
        <w:br/>
        <w:t>│    React + Vite    │     │      FastAPI       │     │    TensorFlow      │</w:t>
        <w:br/>
        <w:t>│    34 Sayfa        │     │     150+ API       │     │    26+ Model       │</w:t>
        <w:br/>
        <w:t>└────────────────────┘     └────────────────────┘     └────────────────────┘</w:t>
      </w:r>
    </w:p>
    <w:p>
      <w:r>
        <w:t>Frontend: React 18 ve Vite kullanılarak geliştirilmiştir. 34 etkileşimli sayfa içermektedir.</w:t>
      </w:r>
    </w:p>
    <w:p>
      <w:r>
        <w:t>Backend: FastAPI framework'ü ile Python 3.11 üzerinde çalışmaktadır. 150'den fazla RESTful API uç noktası sunmaktadır.</w:t>
      </w:r>
    </w:p>
    <w:p>
      <w:r>
        <w:t>ML Engine: TensorFlow 2.15 tabanlı olup 26'dan fazla eğitilmiş model barındırmaktadır.</w:t>
      </w:r>
    </w:p>
    <w:p>
      <w:pPr>
        <w:pStyle w:val="Heading2"/>
      </w:pPr>
      <w:r>
        <w:t>3.2 Temel Özellikler</w:t>
      </w:r>
    </w:p>
    <w:p>
      <w:r>
        <w:t>Dashboard: Anlık tehdit istatistikleri, engellenen saldırılar ve sistem sağlığı görselleştirilmektedir.</w:t>
      </w:r>
    </w:p>
    <w:p>
      <w:r>
        <w:t>3D Tehdit Haritası: WebGL tabanlı üç boyutlu dünya haritasında saldırıların kaynağı ve hedefi gerçek zamanlı olarak gösterilmektedir. WebSocket protokolü ile canlı veri akışı sağlanmaktadır.</w:t>
      </w:r>
    </w:p>
    <w:p>
      <w:r>
        <w:t>AI Asistan: Beş farklı büyük dil modeli sağlayıcısı (OpenAI GPT, Google Gemini, Anthropic Claude, Groq, Ollama) entegre edilmiştir. RAG (Retrieval-Augmented Generation) mimarisi ile bağlam duyarlı yanıtlar üretilmektedir.</w:t>
      </w:r>
    </w:p>
    <w:p>
      <w:r>
        <w:t>Gerçek Zamanlı İzleme: WebSocket tabanlı iletişim sayesinde saldırılar milisaniyeler içinde arayüze yansımaktadır.</w:t>
      </w:r>
    </w:p>
    <w:p>
      <w:pPr>
        <w:pStyle w:val="Heading1"/>
      </w:pPr>
      <w:r>
        <w:t>4. SONUÇLAR</w:t>
      </w:r>
    </w:p>
    <w:p>
      <w:pPr>
        <w:pStyle w:val="Heading2"/>
      </w:pPr>
      <w:r>
        <w:t>4.1 Performans Değerlendirmesi</w:t>
      </w:r>
    </w:p>
    <w:p>
      <w:r>
        <w:t>Model performansı, doğruluk, kesinlik, duyarlılık ve F1-skoru metrikleri ile değerlendirilmiştir.</w:t>
      </w:r>
    </w:p>
    <w:p>
      <w:r>
        <w:t>Tablo 1: Veri Kümesi Bazlı Sonuçlar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Veri Kümesi</w:t>
            </w:r>
          </w:p>
        </w:tc>
        <w:tc>
          <w:tcPr>
            <w:tcW w:type="dxa" w:w="1728"/>
          </w:tcPr>
          <w:p>
            <w:r>
              <w:t>Doğruluk</w:t>
            </w:r>
          </w:p>
        </w:tc>
        <w:tc>
          <w:tcPr>
            <w:tcW w:type="dxa" w:w="1728"/>
          </w:tcPr>
          <w:p>
            <w:r>
              <w:t>Kesinlik</w:t>
            </w:r>
          </w:p>
        </w:tc>
        <w:tc>
          <w:tcPr>
            <w:tcW w:type="dxa" w:w="1728"/>
          </w:tcPr>
          <w:p>
            <w:r>
              <w:t>Duyarlılık</w:t>
            </w:r>
          </w:p>
        </w:tc>
        <w:tc>
          <w:tcPr>
            <w:tcW w:type="dxa" w:w="1728"/>
          </w:tcPr>
          <w:p>
            <w:r>
              <w:t>F1-Skoru</w:t>
            </w:r>
          </w:p>
        </w:tc>
      </w:tr>
      <w:tr>
        <w:tc>
          <w:tcPr>
            <w:tcW w:type="dxa" w:w="1728"/>
          </w:tcPr>
          <w:p>
            <w:r>
              <w:t>NSL-KDD</w:t>
            </w:r>
          </w:p>
        </w:tc>
        <w:tc>
          <w:tcPr>
            <w:tcW w:type="dxa" w:w="1728"/>
          </w:tcPr>
          <w:p>
            <w:r>
              <w:t>%99,36</w:t>
            </w:r>
          </w:p>
        </w:tc>
        <w:tc>
          <w:tcPr>
            <w:tcW w:type="dxa" w:w="1728"/>
          </w:tcPr>
          <w:p>
            <w:r>
              <w:t>%99,37</w:t>
            </w:r>
          </w:p>
        </w:tc>
        <w:tc>
          <w:tcPr>
            <w:tcW w:type="dxa" w:w="1728"/>
          </w:tcPr>
          <w:p>
            <w:r>
              <w:t>%99,36</w:t>
            </w:r>
          </w:p>
        </w:tc>
        <w:tc>
          <w:tcPr>
            <w:tcW w:type="dxa" w:w="1728"/>
          </w:tcPr>
          <w:p>
            <w:r>
              <w:t>%99,36</w:t>
            </w:r>
          </w:p>
        </w:tc>
      </w:tr>
      <w:tr>
        <w:tc>
          <w:tcPr>
            <w:tcW w:type="dxa" w:w="1728"/>
          </w:tcPr>
          <w:p>
            <w:r>
              <w:t>CICIDS2017</w:t>
            </w:r>
          </w:p>
        </w:tc>
        <w:tc>
          <w:tcPr>
            <w:tcW w:type="dxa" w:w="1728"/>
          </w:tcPr>
          <w:p>
            <w:r>
              <w:t>%99,88</w:t>
            </w:r>
          </w:p>
        </w:tc>
        <w:tc>
          <w:tcPr>
            <w:tcW w:type="dxa" w:w="1728"/>
          </w:tcPr>
          <w:p>
            <w:r>
              <w:t>%99,89</w:t>
            </w:r>
          </w:p>
        </w:tc>
        <w:tc>
          <w:tcPr>
            <w:tcW w:type="dxa" w:w="1728"/>
          </w:tcPr>
          <w:p>
            <w:r>
              <w:t>%99,88</w:t>
            </w:r>
          </w:p>
        </w:tc>
        <w:tc>
          <w:tcPr>
            <w:tcW w:type="dxa" w:w="1728"/>
          </w:tcPr>
          <w:p>
            <w:r>
              <w:t>%99,88</w:t>
            </w:r>
          </w:p>
        </w:tc>
      </w:tr>
      <w:tr>
        <w:tc>
          <w:tcPr>
            <w:tcW w:type="dxa" w:w="1728"/>
          </w:tcPr>
          <w:p>
            <w:r>
              <w:t>BoT-IoT</w:t>
            </w:r>
          </w:p>
        </w:tc>
        <w:tc>
          <w:tcPr>
            <w:tcW w:type="dxa" w:w="1728"/>
          </w:tcPr>
          <w:p>
            <w:r>
              <w:t>%99,99</w:t>
            </w:r>
          </w:p>
        </w:tc>
        <w:tc>
          <w:tcPr>
            <w:tcW w:type="dxa" w:w="1728"/>
          </w:tcPr>
          <w:p>
            <w:r>
              <w:t>%99,99</w:t>
            </w:r>
          </w:p>
        </w:tc>
        <w:tc>
          <w:tcPr>
            <w:tcW w:type="dxa" w:w="1728"/>
          </w:tcPr>
          <w:p>
            <w:r>
              <w:t>%99,99</w:t>
            </w:r>
          </w:p>
        </w:tc>
        <w:tc>
          <w:tcPr>
            <w:tcW w:type="dxa" w:w="1728"/>
          </w:tcPr>
          <w:p>
            <w:r>
              <w:t>%99,99</w:t>
            </w:r>
          </w:p>
        </w:tc>
      </w:tr>
    </w:tbl>
    <w:p/>
    <w:p>
      <w:r>
        <w:t>Sonuçlar, önerilen modelin tüm veri kümeleri üzerinde tutarlı ve yüksek performans sergilediğini göstermektedir.</w:t>
      </w:r>
    </w:p>
    <w:p>
      <w:pPr>
        <w:pStyle w:val="Heading2"/>
      </w:pPr>
      <w:r>
        <w:t>4.2 Karşılaştırmalı Analiz</w:t>
      </w:r>
    </w:p>
    <w:p>
      <w:r>
        <w:t>Önerilen model, literatürdeki mevcut yöntemlerle karşılaştırılmıştır.</w:t>
      </w:r>
    </w:p>
    <w:p>
      <w:r>
        <w:t>Tablo 2: Literatür Karşılaştırması (NSL-KDD)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Yöntem</w:t>
            </w:r>
          </w:p>
        </w:tc>
        <w:tc>
          <w:tcPr>
            <w:tcW w:type="dxa" w:w="4320"/>
          </w:tcPr>
          <w:p>
            <w:r>
              <w:t>Doğruluk</w:t>
            </w:r>
          </w:p>
        </w:tc>
      </w:tr>
      <w:tr>
        <w:tc>
          <w:tcPr>
            <w:tcW w:type="dxa" w:w="4320"/>
          </w:tcPr>
          <w:p>
            <w:r>
              <w:t>SVM [10]</w:t>
            </w:r>
          </w:p>
        </w:tc>
        <w:tc>
          <w:tcPr>
            <w:tcW w:type="dxa" w:w="4320"/>
          </w:tcPr>
          <w:p>
            <w:r>
              <w:t>%94,5</w:t>
            </w:r>
          </w:p>
        </w:tc>
      </w:tr>
      <w:tr>
        <w:tc>
          <w:tcPr>
            <w:tcW w:type="dxa" w:w="4320"/>
          </w:tcPr>
          <w:p>
            <w:r>
              <w:t>Rastgele Orman [11]</w:t>
            </w:r>
          </w:p>
        </w:tc>
        <w:tc>
          <w:tcPr>
            <w:tcW w:type="dxa" w:w="4320"/>
          </w:tcPr>
          <w:p>
            <w:r>
              <w:t>%96,8</w:t>
            </w:r>
          </w:p>
        </w:tc>
      </w:tr>
      <w:tr>
        <w:tc>
          <w:tcPr>
            <w:tcW w:type="dxa" w:w="4320"/>
          </w:tcPr>
          <w:p>
            <w:r>
              <w:t>CNN [12]</w:t>
            </w:r>
          </w:p>
        </w:tc>
        <w:tc>
          <w:tcPr>
            <w:tcW w:type="dxa" w:w="4320"/>
          </w:tcPr>
          <w:p>
            <w:r>
              <w:t>%97,2</w:t>
            </w:r>
          </w:p>
        </w:tc>
      </w:tr>
      <w:tr>
        <w:tc>
          <w:tcPr>
            <w:tcW w:type="dxa" w:w="4320"/>
          </w:tcPr>
          <w:p>
            <w:r>
              <w:t>LSTM (temel) [9]</w:t>
            </w:r>
          </w:p>
        </w:tc>
        <w:tc>
          <w:tcPr>
            <w:tcW w:type="dxa" w:w="4320"/>
          </w:tcPr>
          <w:p>
            <w:r>
              <w:t>%98,5</w:t>
            </w:r>
          </w:p>
        </w:tc>
      </w:tr>
      <w:tr>
        <w:tc>
          <w:tcPr>
            <w:tcW w:type="dxa" w:w="4320"/>
          </w:tcPr>
          <w:p>
            <w:r>
              <w:t>**SSA-LSTM (Bu çalışma)**</w:t>
            </w:r>
          </w:p>
        </w:tc>
        <w:tc>
          <w:tcPr>
            <w:tcW w:type="dxa" w:w="4320"/>
          </w:tcPr>
          <w:p>
            <w:r>
              <w:t>**%99,36**</w:t>
            </w:r>
          </w:p>
        </w:tc>
      </w:tr>
    </w:tbl>
    <w:p/>
    <w:p>
      <w:pPr>
        <w:pStyle w:val="Heading2"/>
      </w:pPr>
      <w:r>
        <w:t>4.3 Ablasyon Çalışması</w:t>
      </w:r>
    </w:p>
    <w:p>
      <w:r>
        <w:t>Her bileşenin katkısını değerlendirmek için ablasyon analizi yapılmıştır.</w:t>
      </w:r>
    </w:p>
    <w:p>
      <w:r>
        <w:t>Tablo 3: Bileşen Katkı Analizi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Yapılandırma</w:t>
            </w:r>
          </w:p>
        </w:tc>
        <w:tc>
          <w:tcPr>
            <w:tcW w:type="dxa" w:w="2880"/>
          </w:tcPr>
          <w:p>
            <w:r>
              <w:t>Doğruluk</w:t>
            </w:r>
          </w:p>
        </w:tc>
        <w:tc>
          <w:tcPr>
            <w:tcW w:type="dxa" w:w="2880"/>
          </w:tcPr>
          <w:p>
            <w:r>
              <w:t>Artış</w:t>
            </w:r>
          </w:p>
        </w:tc>
      </w:tr>
      <w:tr>
        <w:tc>
          <w:tcPr>
            <w:tcW w:type="dxa" w:w="2880"/>
          </w:tcPr>
          <w:p>
            <w:r>
              <w:t>Sadece LSTM</w:t>
            </w:r>
          </w:p>
        </w:tc>
        <w:tc>
          <w:tcPr>
            <w:tcW w:type="dxa" w:w="2880"/>
          </w:tcPr>
          <w:p>
            <w:r>
              <w:t>%98,42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LSTM + Conv1D</w:t>
            </w:r>
          </w:p>
        </w:tc>
        <w:tc>
          <w:tcPr>
            <w:tcW w:type="dxa" w:w="2880"/>
          </w:tcPr>
          <w:p>
            <w:r>
              <w:t>%99,12</w:t>
            </w:r>
          </w:p>
        </w:tc>
        <w:tc>
          <w:tcPr>
            <w:tcW w:type="dxa" w:w="2880"/>
          </w:tcPr>
          <w:p>
            <w:r>
              <w:t>+%0,70</w:t>
            </w:r>
          </w:p>
        </w:tc>
      </w:tr>
      <w:tr>
        <w:tc>
          <w:tcPr>
            <w:tcW w:type="dxa" w:w="2880"/>
          </w:tcPr>
          <w:p>
            <w:r>
              <w:t>LSTM + Conv1D + SSA</w:t>
            </w:r>
          </w:p>
        </w:tc>
        <w:tc>
          <w:tcPr>
            <w:tcW w:type="dxa" w:w="2880"/>
          </w:tcPr>
          <w:p>
            <w:r>
              <w:t>%99,88</w:t>
            </w:r>
          </w:p>
        </w:tc>
        <w:tc>
          <w:tcPr>
            <w:tcW w:type="dxa" w:w="2880"/>
          </w:tcPr>
          <w:p>
            <w:r>
              <w:t>+%0,76</w:t>
            </w:r>
          </w:p>
        </w:tc>
      </w:tr>
      <w:tr>
        <w:tc>
          <w:tcPr>
            <w:tcW w:type="dxa" w:w="2880"/>
          </w:tcPr>
          <w:p>
            <w:r>
              <w:t>Tam model (+ Dropout)</w:t>
            </w:r>
          </w:p>
        </w:tc>
        <w:tc>
          <w:tcPr>
            <w:tcW w:type="dxa" w:w="2880"/>
          </w:tcPr>
          <w:p>
            <w:r>
              <w:t>%99,96</w:t>
            </w:r>
          </w:p>
        </w:tc>
        <w:tc>
          <w:tcPr>
            <w:tcW w:type="dxa" w:w="2880"/>
          </w:tcPr>
          <w:p>
            <w:r>
              <w:t>+%0,08</w:t>
            </w:r>
          </w:p>
        </w:tc>
      </w:tr>
    </w:tbl>
    <w:p/>
    <w:p>
      <w:r>
        <w:t>Sonuçlar, her bileşenin performansa pozitif katkı sağladığını ortaya koymaktadır.</w:t>
      </w:r>
    </w:p>
    <w:p>
      <w:pPr>
        <w:pStyle w:val="Heading1"/>
      </w:pPr>
      <w:r>
        <w:t>5. SONUÇ VE DEĞERLENDİRME</w:t>
      </w:r>
    </w:p>
    <w:p>
      <w:pPr>
        <w:pStyle w:val="Heading2"/>
      </w:pPr>
      <w:r>
        <w:t>5.1 Değerlendirme</w:t>
      </w:r>
    </w:p>
    <w:p>
      <w:r>
        <w:t>Bu çalışmada, SSA-LSTM tabanlı bir siber saldırı tespit modeli ve bunu kapsayan CyberGuard AI platformu geliştirilmiştir. Üç farklı veri kümesinde %99'un üzerinde doğruluk oranları elde edilmiştir. Platform, 34 etkileşimli sayfa ve 150'den fazla API ile akademik bulguları kullanılabilir bir ürüne dönüştürmektedir.</w:t>
      </w:r>
    </w:p>
    <w:p>
      <w:pPr>
        <w:pStyle w:val="Heading2"/>
      </w:pPr>
      <w:r>
        <w:t>5.2 Kısıtlamalar</w:t>
      </w:r>
    </w:p>
    <w:p>
      <w:r>
        <w:t>- Yalnızca kamuya açık veri kümeleri kullanılmıştır</w:t>
      </w:r>
    </w:p>
    <w:p>
      <w:r>
        <w:t>- Adversarial saldırılara karşı dayanıklılık test edilmemiştir</w:t>
      </w:r>
    </w:p>
    <w:p>
      <w:r>
        <w:t>- Model eğitimi GPU kaynağı gerektirmektedir</w:t>
      </w:r>
    </w:p>
    <w:p>
      <w:pPr>
        <w:pStyle w:val="Heading2"/>
      </w:pPr>
      <w:r>
        <w:t>5.3 Gelecek Çalışmalar</w:t>
      </w:r>
    </w:p>
    <w:p>
      <w:r>
        <w:t>- Federe öğrenme ile gizlilik koruyucu eğitim</w:t>
      </w:r>
    </w:p>
    <w:p>
      <w:r>
        <w:t>- Canlı ağ ortamında performans değerlendirmesi</w:t>
      </w:r>
    </w:p>
    <w:p>
      <w:r>
        <w:t>- Edge cihazlarda çalışabilecek hafif model versiyonları</w:t>
      </w:r>
    </w:p>
    <w:p>
      <w:pPr>
        <w:pStyle w:val="Heading1"/>
      </w:pPr>
      <w:r>
        <w:t>KAYNAKÇA</w:t>
      </w:r>
    </w:p>
    <w:p>
      <w:r>
        <w:t>[1] Cybersecurity Ventures. (2024). Cybercrime to cost the world $10.5 trillion annually by 2025. Cybersecurity Ventures Report.</w:t>
      </w:r>
    </w:p>
    <w:p>
      <w:r>
        <w:t>[2] Zhang, J., Li, H., &amp; Wang, Y. (2020). Network intrusion detection based on deep learning. Computers &amp; Security, 97, 101962.</w:t>
      </w:r>
    </w:p>
    <w:p>
      <w:r>
        <w:t>[3] Xue, J., &amp; Shen, B. (2020). A novel swarm intelligence optimization approach: sparrow search algorithm. Systems Science &amp; Control Engineering, 8(1), 22-34.</w:t>
      </w:r>
    </w:p>
    <w:p>
      <w:r>
        <w:t>[4] Scientific Reports. (2025). An optimized LSTM-based deep learning model for anomaly network intrusion detection. Scientific Reports, 15, 1554. &lt;https://doi.org/10.1038/s41598-025-85248-z&gt;</w:t>
      </w:r>
    </w:p>
    <w:p>
      <w:r>
        <w:t>[5] Tavallaee, M., Bagheri, E., Lu, W., &amp; Ghorbani, A. A. (2009). A detailed analysis of the KDD CUP 99 data set. IEEE Symposium on Computational Intelligence for Security and Defense Applications.</w:t>
      </w:r>
    </w:p>
    <w:p>
      <w:r>
        <w:t>[6] Sharafaldin, I., Lashkari, A. H., &amp; Ghorbani, A. A. (2018). Toward generating a new intrusion detection dataset and intrusion traffic characterization. ICISSp, 108-116.</w:t>
      </w:r>
    </w:p>
    <w:p>
      <w:r>
        <w:t>[7] Koroniotis, N., Moustafa, N., Sitnikova, E., &amp; Turnbull, B. (2019). Towards the development of realistic botnet dataset in the Internet of Things. Future Generation Computer Systems, 100, 779-796.</w:t>
      </w:r>
    </w:p>
    <w:p>
      <w:r>
        <w:t>[8] Chawla, N. V., Bowyer, K. W., Hall, L. O., &amp; Kegelmeyer, W. P. (2002). SMOTE: Synthetic minority over-sampling technique. Journal of Artificial Intelligence Research, 16, 321-357.</w:t>
      </w:r>
    </w:p>
    <w:p>
      <w:r>
        <w:t>[9] Hochreiter, S., &amp; Schmidhuber, J. (1997). Long short-term memory. Neural Computation, 9(8), 1735-1780.</w:t>
      </w:r>
    </w:p>
    <w:p>
      <w:r>
        <w:t>[10] Ahmad, I., Basheri, M., Iqbal, M. J., &amp; Rahim, A. (2018). Performance comparison of support vector machine, random forest, and extreme learning machine for intrusion detection. IEEE Access, 6, 33789-33795.</w:t>
      </w:r>
    </w:p>
    <w:p>
      <w:r>
        <w:t>[11] Yin, C., Zhu, Y., Fei, J., &amp; He, X. (2017). A deep learning approach for intrusion detection using recurrent neural networks. IEEE Access, 5, 21954-21961.</w:t>
      </w:r>
    </w:p>
    <w:p>
      <w:r>
        <w:t>[12] Vinayakumar, R., Alazab, M., Soman, K. P., Poornachandran, P., Al-Nemrat, A., &amp; Venkatraman, S. (2019). Deep learning approach for intelligent intrusion detection system. IEEE Access, 7, 41525-41550.</w:t>
      </w:r>
    </w:p>
    <w:p>
      <w:r>
        <w:rPr>
          <w:b/>
        </w:rPr>
        <w:t>© 2026 CyberGuard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