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Leading parity page</w:t>
      </w:r>
    </w:p>
    <w:tbl>
      <w:tblPr>
        <w:tblpPr w:horzAnchor="margin" w:vertAnchor="margin" w:tblpXSpec="inside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72" w:type="dxa"/>
          <w:bottom w:w="0" w:type="dxa"/>
          <w:right w:w="216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inside-odd row 02</w:t>
            </w:r>
          </w:p>
        </w:tc>
      </w:tr>
    </w:tbl>
    <w:p>
      <w:r>
        <w:t>inside-odd anchor after table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inside-odd section end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Independent parity spacer</w:t>
      </w:r>
    </w:p>
    <w:tbl>
      <w:tblPr>
        <w:tblpPr w:horzAnchor="margin" w:vertAnchor="margin" w:tblpXSpec="inside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72" w:type="dxa"/>
          <w:bottom w:w="0" w:type="dxa"/>
          <w:right w:w="216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inside-even row 02</w:t>
            </w:r>
          </w:p>
        </w:tc>
      </w:tr>
    </w:tbl>
    <w:p>
      <w:r>
        <w:t>inside-even anchor after table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inside-even section end</w:t>
      </w:r>
    </w:p>
    <w:tbl>
      <w:tblPr>
        <w:tblpPr w:horzAnchor="margin" w:vertAnchor="margin" w:tblpXSpec="outside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72" w:type="dxa"/>
          <w:bottom w:w="0" w:type="dxa"/>
          <w:right w:w="216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outside-even row 02</w:t>
            </w:r>
          </w:p>
        </w:tc>
      </w:tr>
    </w:tbl>
    <w:p>
      <w:r>
        <w:t>outside-even anchor after table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outside-even section end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Independent parity spacer</w:t>
      </w:r>
    </w:p>
    <w:tbl>
      <w:tblPr>
        <w:tblpPr w:horzAnchor="margin" w:vertAnchor="margin" w:tblpXSpec="outside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72" w:type="dxa"/>
          <w:bottom w:w="0" w:type="dxa"/>
          <w:right w:w="216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outside-odd row 02</w:t>
            </w:r>
          </w:p>
        </w:tc>
      </w:tr>
    </w:tbl>
    <w:p>
      <w:r>
        <w:t>outside-odd anchor after table</w:t>
      </w:r>
    </w:p>
    <w:sectPr>
      <w:type w:val="nextPage"/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