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Leading parity page</w:t>
      </w:r>
    </w:p>
    <w:tbl>
      <w:tblPr>
        <w:tblpPr w:horzAnchor="margin" w:vertAnchor="margin" w:tblpXSpec="center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17</w:t>
            </w:r>
          </w:p>
        </w:tc>
      </w:tr>
    </w:tbl>
    <w:p>
      <w:r>
        <w:t>inside-odd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inside-odd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margin" w:vertAnchor="margin" w:tblpXSpec="center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17</w:t>
            </w:r>
          </w:p>
        </w:tc>
      </w:tr>
    </w:tbl>
    <w:p>
      <w:r>
        <w:t>inside-even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inside-even section end</w:t>
      </w:r>
    </w:p>
    <w:tbl>
      <w:tblPr>
        <w:tblpPr w:horzAnchor="margin" w:vertAnchor="margin" w:tblpXSpec="center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17</w:t>
            </w:r>
          </w:p>
        </w:tc>
      </w:tr>
    </w:tbl>
    <w:p>
      <w:r>
        <w:t>outside-even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outside-even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margin" w:vertAnchor="margin" w:tblpXSpec="center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17</w:t>
            </w:r>
          </w:p>
        </w:tc>
      </w:tr>
    </w:tbl>
    <w:p>
      <w:r>
        <w:t>outside-odd anchor after table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