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Crossing content 1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/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2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3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4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5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6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7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MMMMMMMMMM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8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MMMMMMMMMMMM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9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MMMMMMMMMMMMMM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10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1600" w:type="dxa"/>
            <w:shd w:val="clear" w:fill="FFFFAA"/>
          </w:tcPr>
          <w:p>
            <w:r>
              <w:t/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Crossing content 11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1600" w:type="dxa"/>
            <w:shd w:val="clear" w:fill="FFFFAA"/>
          </w:tcPr>
          <w:p>
            <w:r>
              <w:t>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Crossing content 12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1600" w:type="dxa"/>
            <w:shd w:val="clear" w:fill="FFFFAA"/>
          </w:tcPr>
          <w:p>
            <w:r>
              <w:t>MMMMMMMM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Crossing content 13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1600" w:type="dxa"/>
            <w:shd w:val="clear" w:fill="FFFFAA"/>
          </w:tcPr>
          <w:p>
            <w:r>
              <w:t>MMMMMMMMMMMM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Crossing content 14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15</w:t>
      </w:r>
    </w:p>
    <w:tbl>
      <w:tblPr>
        <w:tblW w:w="0" w:type="auto"/>
        <w:tblCellMar>
          <w:left w:w="40" w:type="dxa"/>
          <w:right w:w="4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16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/>
    <w:sectPr>
      <w:pgSz w:w="7440" w:h="1008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