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harts/chart1.xml" ContentType="application/vnd.openxmlformats-officedocument.drawingml.chart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xlsx" ContentType="application/vnd.openxmlformats-officedocument.spreadsheetml.shee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c="http://schemas.openxmlformats.org/drawingml/2006/chart" xmlns:r="http://schemas.openxmlformats.org/officeDocument/2006/relationships">
  <w:body>
    <w:p>
      <w:pPr>
        <w:spacing w:after="0"/>
      </w:pPr>
      <w:r>
        <w:t>percent-positive</w:t>
      </w:r>
    </w:p>
    <w:p>
      <w:r>
        <w:drawing>
          <wp:inline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m="http://schemas.openxmlformats.org/officeDocument/2006/math" xmlns:v="urn:schemas-microsoft-com:vml" xmlns:wp14="http://schemas.microsoft.com/office/word/2010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distT="0" distB="0" distL="0" distR="0">
            <wp:extent cx="5486400" cy="3657600"/>
            <wp:effectExtent l="0" t="0" r="0" b="0"/>
            <wp:docPr id="7" name="Quarterly results" descr="Cached column chart"/>
            <wp:cNvGraphicFramePr/>
            <a:graphic>
              <a:graphicData uri="http://schemas.openxmlformats.org/drawingml/2006/chart">
                <c:chart r:id="rId9"/>
              </a:graphicData>
            </a:graphic>
          </wp:inline>
        </w:drawing>
      </w:r>
    </w:p>
    <w:p>
      <w:r>
        <w:t>After chart</w:t>
      </w:r>
    </w:p>
    <w:sectPr>
      <w:pgSz w:w="12240" w:h="15840"/>
      <w:pgMar w:top="720" w:right="720" w:bottom="720" w:left="720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120"/>
    </w:pPr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chart" Target="charts/chart1.xml"/><Relationship Id="rId10" Type="http://schemas.openxmlformats.org/officeDocument/2006/relationships/image" Target="media/image1.png"/></Relationships>
</file>

<file path=word/charts/_rels/chart1.xml.rels><?xml version='1.0' encoding='UTF-8' standalone='yes'?>
<Relationships xmlns="http://schemas.openxmlformats.org/package/2006/relationships"><Relationship Id="workbook" Type="http://schemas.openxmlformats.org/officeDocument/2006/relationships/package" Target="../embeddings/chart-data.xlsx"/></Relationships>
</file>

<file path=word/charts/chart1.xml><?xml version="1.0" encoding="utf-8"?>
<c:chartSpace xmlns:c="http://schemas.openxmlformats.org/drawingml/2006/chart" xmlns:a="http://schemas.openxmlformats.org/drawingml/2006/main">
  <c:date1904 val="1"/>
  <c:lang val="en-US"/>
  <c:roundedCorners val="0"/>
  <c:style val="3"/>
  <c:chart>
    <c:autoTitleDeleted/>
    <c:plotArea>
      <c:layout/>
      <c:barChart>
        <c:barDir val="col"/>
        <c:grouping val="percentStacked"/>
        <c:ser>
          <c:idx val="0"/>
          <c:order val="0"/>
          <c:tx>
            <c:strRef>
              <c:f>Sheet1!$B$1</c:f>
              <c:strCache>
                <c:ptCount val="1"/>
                <c:pt idx="0">
                  <c:v>North</c:v>
                </c:pt>
              </c:strCache>
            </c:strRef>
          </c:tx>
          <c:spPr>
            <a:solidFill>
              <a:schemeClr val="accent1">
                <a:shade val="65000"/>
              </a:schemeClr>
            </a:solidFill>
            <a:ln w="9525" cap="flat" cmpd="sng" algn="ctr">
              <a:noFill/>
              <a:round/>
            </a:ln>
            <a:effectLst/>
          </c:spPr>
          <c:cat>
            <c:strRef>
              <c:f>Sheet1!$A$2:$A$5</c:f>
              <c:strCache>
                <c:ptCount val="4"/>
                <c:pt idx="3">
                  <c:v>Q4</c:v>
                </c:pt>
                <c:pt idx="2">
                  <c:v>Q3</c:v>
                </c:pt>
                <c:pt idx="1">
                  <c:v>Q2</c:v>
                </c:pt>
                <c:pt idx="0">
                  <c:v>Q1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3">
                  <c:v>3</c:v>
                </c:pt>
                <c:pt idx="2">
                  <c:v>0</c:v>
                </c:pt>
                <c:pt idx="1">
                  <c:v>4</c:v>
                </c:pt>
                <c:pt idx="0">
                  <c:v>2</c:v>
                </c:pt>
              </c:numCache>
            </c:numRef>
          </c:val>
          <c:extLst>
            <c:ext uri="{C3380CC4-5D6E-409C-BE32-E72D297353CC}">
              <c16:uniqueId xmlns:c16="http://schemas.microsoft.com/office/drawing/2014/chart" val="{00000000-0000-4000-8000-000000000001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South</c:v>
                </c:pt>
              </c:strCache>
            </c:strRef>
          </c:tx>
          <c:spPr>
            <a:solidFill>
              <a:schemeClr val="accent1"/>
            </a:solidFill>
            <a:ln w="9525" cap="flat" cmpd="sng" algn="ctr">
              <a:noFill/>
              <a:round/>
            </a:ln>
            <a:effectLst/>
          </c:spPr>
          <c:cat>
            <c:strRef>
              <c:f>Sheet1!$A$2:$A$5</c:f>
              <c:strCache>
                <c:ptCount val="4"/>
                <c:pt idx="3">
                  <c:v>Q4</c:v>
                </c:pt>
                <c:pt idx="2">
                  <c:v>Q3</c:v>
                </c:pt>
                <c:pt idx="1">
                  <c:v>Q2</c:v>
                </c:pt>
                <c:pt idx="0">
                  <c:v>Q1</c:v>
                </c:pt>
              </c:strCache>
            </c:strRef>
          </c:cat>
          <c:val>
            <c:numRef>
              <c:f>Sheet1!$C$2:$C$5</c:f>
              <c:numCache>
                <c:formatCode>General</c:formatCode>
                <c:ptCount val="4"/>
                <c:pt idx="3">
                  <c:v>2</c:v>
                </c:pt>
                <c:pt idx="2">
                  <c:v>0</c:v>
                </c:pt>
                <c:pt idx="1">
                  <c:v>6</c:v>
                </c:pt>
                <c:pt idx="0">
                  <c:v>3</c:v>
                </c:pt>
              </c:numCache>
            </c:numRef>
          </c:val>
          <c:extLst>
            <c:ext uri="{C3380CC4-5D6E-409C-BE32-E72D297353CC}">
              <c16:uniqueId xmlns:c16="http://schemas.microsoft.com/office/drawing/2014/chart" val="{00000000-0000-4000-8000-000000000002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West</c:v>
                </c:pt>
              </c:strCache>
            </c:strRef>
          </c:tx>
          <c:spPr>
            <a:solidFill>
              <a:schemeClr val="accent1">
                <a:tint val="65000"/>
              </a:schemeClr>
            </a:solidFill>
            <a:ln w="9525" cap="flat" cmpd="sng" algn="ctr">
              <a:noFill/>
              <a:round/>
            </a:ln>
            <a:effectLst/>
          </c:spPr>
          <c:cat>
            <c:strRef>
              <c:f>Sheet1!$A$2:$A$5</c:f>
              <c:strCache>
                <c:ptCount val="4"/>
                <c:pt idx="3">
                  <c:v>Q4</c:v>
                </c:pt>
                <c:pt idx="2">
                  <c:v>Q3</c:v>
                </c:pt>
                <c:pt idx="1">
                  <c:v>Q2</c:v>
                </c:pt>
                <c:pt idx="0">
                  <c:v>Q1</c:v>
                </c:pt>
              </c:strCache>
            </c:strRef>
          </c:cat>
          <c:val>
            <c:numRef>
              <c:f>Sheet1!$D$2:$D$5</c:f>
              <c:numCache>
                <c:formatCode>General</c:formatCode>
                <c:ptCount val="4"/>
                <c:pt idx="3">
                  <c:v>5</c:v>
                </c:pt>
                <c:pt idx="2">
                  <c:v>0</c:v>
                </c:pt>
                <c:pt idx="1">
                  <c:v>10</c:v>
                </c:pt>
                <c:pt idx="0">
                  <c:v>5</c:v>
                </c:pt>
              </c:numCache>
            </c:numRef>
          </c:val>
          <c:extLst>
            <c:ext uri="{C3380CC4-5D6E-409C-BE32-E72D297353CC}">
              <c16:uniqueId xmlns:c16="http://schemas.microsoft.com/office/drawing/2014/chart" val="{00000000-0000-4000-8000-000000000003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overlap val="100"/>
        <c:axId val="10"/>
        <c:axId val="20"/>
      </c:barChart>
      <c:catAx>
        <c:axId val="10"/>
        <c:scaling>
          <c:orientation val="minMax"/>
        </c:scaling>
        <c:delete val="0"/>
        <c:axPos val="b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ln>
                  <a:noFill/>
                </a:ln>
                <a:solidFill>
                  <a:srgbClr val="000000"/>
                </a:solidFill>
                <a:latin typeface="Calibri"/>
              </a:defRPr>
            </a:pPr>
            <a:endParaRPr lang="en-US"/>
          </a:p>
        </c:txPr>
        <c:crossAx val="20"/>
        <c:crossesAt val="0"/>
        <c:auto val="1"/>
        <c:lblAlgn val="ctr"/>
        <c:lblOffset val="100"/>
        <c:noMultiLvlLbl val="0"/>
      </c:catAx>
      <c:valAx>
        <c:axId val="20"/>
        <c:scaling>
          <c:orientation val="minMax"/>
        </c:scaling>
        <c:delete val="0"/>
        <c:axPos val="l"/>
        <c:majorGridlines>
          <c:spPr>
            <a:noFill/>
            <a:ln w="9525" cap="flat" cmpd="sng" algn="ctr">
              <a:solidFill>
                <a:schemeClr val="bg1">
                  <a:lumMod val="50000"/>
                </a:schemeClr>
              </a:solidFill>
              <a:round/>
            </a:ln>
            <a:effectLst/>
          </c:spPr>
        </c:majorGridlines>
        <c:numFmt formatCode="0%" sourceLinked="0"/>
        <c:majorTickMark val="out"/>
        <c:minorTickMark val="none"/>
        <c:tickLblPos val="nextTo"/>
        <c:spPr>
          <a:noFill/>
          <a:ln w="9525" cap="flat" cmpd="sng" algn="ctr">
            <a:solidFill>
              <a:srgbClr val="b3b3b3"/>
            </a:solidFill>
            <a:round/>
          </a:ln>
          <a:effectLst/>
        </c:spPr>
        <c:txPr>
          <a:bodyPr rot="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ln>
                  <a:noFill/>
                </a:ln>
                <a:solidFill>
                  <a:srgbClr val="000000"/>
                </a:solidFill>
                <a:latin typeface="Calibri"/>
              </a:defRPr>
            </a:pPr>
            <a:endParaRPr lang="en-US"/>
          </a:p>
        </c:txPr>
        <c:crossAx val="10"/>
        <c:crossesAt val="0"/>
      </c:valAx>
      <c:spPr>
        <a:noFill/>
        <a:ln w="9525" cap="flat" cmpd="sng" algn="ctr">
          <a:solidFill>
            <a:srgbClr val="b3b3b3"/>
          </a:solidFill>
          <a:round/>
        </a:ln>
        <a:effectLst/>
      </c:spPr>
    </c:plotArea>
    <c:plotVisOnly val="1"/>
    <c:dispBlanksAs val="span"/>
    <c:showDLblsOverMax val="0"/>
    <c:extLst>
      <c:ext uri="{56B9EC1D-385E-4148-901F-78D8002777C0}">
        <c16r3:dataDisplayOptions16 xmlns:c16r3="http://schemas.microsoft.com/office/drawing/2017/03/chart">
          <c16r3:dispNaAsBlank val="1"/>
        </c16r3:dataDisplayOptions16>
      </c:ext>
    </c:extLst>
  </c:chart>
  <c:spPr>
    <a:noFill/>
    <a:ln w="9525" cap="flat" cmpd="sng" algn="ctr">
      <a:solidFill>
        <a:srgbClr val="FF00FF"/>
      </a:solidFill>
    </a:ln>
    <a:effectLst/>
  </c:spPr>
  <c:txPr>
    <a:bodyPr rot="0" spcFirstLastPara="1" vertOverflow="ellipsis" vert="horz" wrap="square" anchor="ctr" anchorCtr="1"/>
    <a:lstStyle/>
    <a:p>
      <a:pPr>
        <a:defRPr sz="900" b="0" i="0" u="none" strike="noStrike" kern="1200" baseline="0">
          <a:ln>
            <a:noFill/>
          </a:ln>
          <a:solidFill>
            <a:srgbClr val="000000"/>
          </a:solidFill>
          <a:latin typeface="Calibri"/>
        </a:defRPr>
      </a:pPr>
      <a:endParaRPr lang="en-US"/>
    </a:p>
  </c:txPr>
  <c:externalData xmlns:ns0="http://schemas.openxmlformats.org/officeDocument/2006/relationships" ns0:id="workbook">
    <c:autoUpdate val="0"/>
  </c:externalData>
</c:chartSpac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2864B4"/>
      </a:accent1>
      <a:accent2>
        <a:srgbClr val="B45A28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