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v="urn:schemas-microsoft-com:vml" xmlns:w="http://schemas.openxmlformats.org/wordprocessingml/2006/main" xmlns:a="http://schemas.openxmlformats.org/drawingml/2006/main" xmlns:wp="http://schemas.openxmlformats.org/drawingml/2006/wordprocessingDrawing" xmlns:r="http://schemas.openxmlformats.org/officeDocument/2006/relationships" xmlns:wps="http://schemas.microsoft.com/office/word/2010/wordprocessingShape" xmlns:wpg="http://schemas.microsoft.com/office/word/2010/wordprocessingGroup" xmlns:mc="http://schemas.openxmlformats.org/markup-compatibility/2006" mc:Ignorable="wps wpg">
  <w:body>
    <w:p>
      <w:pPr>
        <w:spacing w:after="0"/>
      </w:pPr>
      <w:r>
        <w:rPr>
          <w:rFonts w:ascii="Arial" w:hAnsi="Arial"/>
          <w:sz w:val="24"/>
        </w:rPr>
        <w:t xml:space="preserve">Before drawings</w:t>
      </w:r>
    </w:p>
    <w:p>
      <w:r>
        <mc:AlternateContent>
          <mc:Choice Requires="wps">
            <w:drawing>
              <wp:inline distT="0" distB="0" distL="0" distR="0">
                <wp:extent cx="1524000" cy="762000"/>
                <wp:docPr id="1" name="Drawing 1"/>
                <wp:cNvGraphicFramePr/>
                <a:graphic>
                  <a:graphicData uri="http://schemas.microsoft.com/office/word/2010/wordprocessingShape">
                    <wps:wsp>
                      <wps:cNvPr id="101" name="Standalone title"/>
                      <wps:cNvSpPr txBox="1"/>
                      <wps:spPr>
                        <a:xfrm>
                          <a:off x="0" y="0"/>
                          <a:ext cx="1524000" cy="762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Default="00112233">
                            <w:pPr>
                              <w:spacing w:after="0"/>
                            </w:pPr>
                            <w:sdt>
                              <w:sdtPr>
                                <w:id w:val="501"/>
                                <w:richText/>
                              </w:sdtPr>
                              <w:sdtContent>
                                <w:r>
                                  <w:rPr>
                                    <w:rFonts w:ascii="Arial" w:hAnsi="Arial"/>
                                    <w:sz w:val="24"/>
                                    <w:b/>
                                  </w:rPr>
                                  <w:t xml:space="preserve">Standalone title</w:t>
                                </w:r>
                              </w:sdtContent>
                            </w:sdt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  <w:sz w:val="24"/>
                              </w:rPr>
                              <w:t xml:space="preserve">Original second paragraph</w:t>
                            </w:r>
                          </w:p>
                        </w:txbxContent>
                      </wps:txbx>
                      <wps:bodyPr lIns="76200" rIns="76200" tIns="38100" bIns="38100" anchor="t"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LegacyTextFrame" coordsize="21600,21600" style="width:120pt;height:60pt" fillcolor="#DDEEFF" stroked="f" path="m0,0l21600,0,21600,21600,0,21600xe">
                <v:textbox inset="6pt,3pt,6pt,3pt">
                  <w:txbxContent>
                    <w:p w:rsidRDefault="44556677">
                      <w:pPr>
                        <w:spacing w:after="0"/>
                      </w:pPr>
                      <w:sdt>
                        <w:sdtPr>
                          <w:id w:val="501"/>
                          <w:richText/>
                        </w:sdtPr>
                        <w:sdtEndPr/>
                        <w:sdtContent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Standalone title</w:t>
                          </w:r>
                        </w:sdtContent>
                      </w:sdt>
                    </w:p>
                    <w:p>
                      <w:pPr>
                        <w:spacing w:after="0"/>
                      </w:pPr>
                      <w:r>
                        <w:rPr>
                          <w:rFonts w:ascii="Arial" w:hAnsi="Arial"/>
                          <w:sz w:val="24"/>
                        </w:rPr>
                        <w:t xml:space="preserve">Original second paragraph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after="0"/>
      </w:pPr>
      <w:r>
        <w:rPr>
          <w:rFonts w:ascii="Arial" w:hAnsi="Arial"/>
          <w:sz w:val="24"/>
        </w:rPr>
        <w:t xml:space="preserve">Between drawings</w:t>
      </w:r>
    </w:p>
    <w:p>
      <w:r>
        <w:drawing>
          <wp:inline distT="0" distB="0" distL="0" distR="0">
            <wp:extent cx="3048000" cy="762000"/>
            <wp:docPr id="2" name="Drawing 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762000"/>
                      <a:chOff x="0" y="0"/>
                      <a:chExt cx="3048000" cy="762000"/>
                    </a:xfrm>
                  </wpg:grpSpPr>
                  <wps:wsp>
                    <wps:cNvPr id="102" name="Left grouped title"/>
                    <wps:cNvSpPr txBox="1"/>
                    <wps:spPr>
                      <a:xfrm>
                        <a:off x="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Left grouped title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 xml:space="preserve">Original second paragraph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  <wps:wsp>
                    <wps:cNvPr id="103" name="Right grouped title"/>
                    <wps:cNvSpPr txBox="1"/>
                    <wps:spPr>
                      <a:xfrm>
                        <a:off x="152400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Right grouped title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 xml:space="preserve">Original second paragraph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After drawings</w:t>
      </w:r>
    </w:p>
    <w:sectPr>
      <w:pgSz w:w="12240" w:h="15840"/>
      <w:pgMar w:top="1440" w:bottom="1440" w:left="1440" w:right="1440" w:header="720" w:footer="720" w:gutter="0"/>
    </w:sectPr>
  </w:body>
</w:document>
</file>