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Rich column recovery</w:t>
      </w:r>
    </w:p>
    <w:tbl>
      <w:tblPr>
        <w:tblW w:type="dxa" w:w="2880"/>
        <w:tblLayout w:type="fixed"/>
        <w:tblLook w:firstColumn="1" w:firstRow="1" w:lastColumn="0" w:lastRow="0" w:noHBand="0" w:noVBand="1" w:val="04A0"/>
      </w:tblPr>
      <w:tblGrid>
        <w:gridCol w:w="1440"/>
        <w:gridCol w:w="1440"/>
      </w:tblGrid>
      <w:tr>
        <w:tc>
          <w:tcPr>
            <w:tcW w:type="dxa" w:w="1440"/>
            <w:shd w:val="clear" w:fill="E4F1FA"/>
          </w:tcPr>
          <w:p>
            <w:r>
              <w:rPr>
                <w:b/>
              </w:rPr>
              <w:t>First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First table anchor and following text.</w:t>
      </w:r>
    </w:p>
    <w:p>
      <w:r>
        <w:drawing>
          <wp:inline xmlns:a="http://schemas.openxmlformats.org/drawingml/2006/main" xmlns:pic="http://schemas.openxmlformats.org/drawingml/2006/picture">
            <wp:extent cx="914400" cy="3429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14400" cy="342900"/>
                    </a:xfrm>
                    <a:prstGeom prst="rect"/>
                  </pic:spPr>
                </pic:pic>
              </a:graphicData>
            </a:graphic>
          </wp:inline>
        </w:drawing>
      </w:r>
    </w:p>
    <w:p>
      <w:r>
        <w:rPr>
          <w:i/>
        </w:rPr>
        <w:t>Healthy formatted paragraph between objects.</w:t>
      </w:r>
    </w:p>
    <w:tbl>
      <w:tblPr>
        <w:tblW w:type="dxa" w:w="2880"/>
        <w:tblLayout w:type="fixed"/>
        <w:tblLook w:firstColumn="1" w:firstRow="1" w:lastColumn="0" w:lastRow="0" w:noHBand="0" w:noVBand="1" w:val="04A0"/>
      </w:tblPr>
      <w:tblGrid>
        <w:gridCol w:w="1440"/>
        <w:gridCol w:w="1440"/>
      </w:tblGrid>
      <w:tr>
        <w:tc>
          <w:tcPr>
            <w:tcW w:type="dxa" w:w="1440"/>
            <w:shd w:val="clear" w:fill="E4F1FA"/>
          </w:tcPr>
          <w:p>
            <w:r>
              <w:rPr>
                <w:b/>
              </w:rPr>
              <w:t>Healthy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Healthy table anchor and following text.</w:t>
      </w:r>
    </w:p>
    <w:p>
      <w:r>
        <w:drawing>
          <wp:inline xmlns:a="http://schemas.openxmlformats.org/drawingml/2006/main" xmlns:pic="http://schemas.openxmlformats.org/drawingml/2006/picture">
            <wp:extent cx="914400" cy="3429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14400" cy="342900"/>
                    </a:xfrm>
                    <a:prstGeom prst="rect"/>
                  </pic:spPr>
                </pic:pic>
              </a:graphicData>
            </a:graphic>
          </wp:inline>
        </w:drawing>
      </w:r>
    </w:p>
    <w:tbl>
      <w:tblPr>
        <w:tblW w:type="dxa" w:w="2880"/>
        <w:tblLayout w:type="fixed"/>
        <w:tblLook w:firstColumn="1" w:firstRow="1" w:lastColumn="0" w:lastRow="0" w:noHBand="0" w:noVBand="1" w:val="04A0"/>
      </w:tblPr>
      <w:tblGrid>
        <w:gridCol w:w="1440"/>
        <w:gridCol w:w="1440"/>
      </w:tblGrid>
      <w:tr>
        <w:tc>
          <w:tcPr>
            <w:tcW w:type="dxa" w:w="1440"/>
            <w:shd w:val="clear" w:fill="E4F1FA"/>
          </w:tcPr>
          <w:p>
            <w:r>
              <w:rPr>
                <w:b/>
              </w:rPr>
              <w:t>Last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Last table anchor and following text.</w:t>
      </w:r>
    </w:p>
    <w:p>
      <w:r>
        <w:t xml:space="preserve">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w:t>
      </w:r>
    </w:p>
    <w:p>
      <w:r>
        <w:rPr>
          <w:b/>
        </w:rPr>
        <w:t>Final retained paragraph.</w:t>
      </w:r>
    </w:p>
    <w:sectPr w:rsidR="00FC693F" w:rsidRPr="0006063C" w:rsidSect="00034616">
      <w:headerReference w:type="default" r:id="rId9"/>
      <w:footerReference w:type="default" r:id="rId10"/>
      <w:pgSz w:w="12240" w:h="15840"/>
      <w:pgMar w:top="1080" w:right="1080" w:bottom="1080" w:left="1080"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Healthy page footer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Healthy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0" w:lineRule="exac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