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Inactive note mark controls</w:t>
      </w:r>
    </w:p>
    <w:p>
      <w:pPr>
        <w:spacing w:after="120"/>
      </w:pPr>
      <w:r>
        <w:t xml:space="preserve">Plain: AB</w:t>
      </w:r>
    </w:p>
    <w:p>
      <w:pPr>
        <w:spacing w:after="120"/>
      </w:pPr>
      <w:r>
        <w:t>footnoteRef: A</w:t>
        <w:footnoteRef/>
        <w:t>B</w:t>
      </w:r>
    </w:p>
    <w:p>
      <w:pPr>
        <w:spacing w:after="120"/>
      </w:pPr>
      <w:r>
        <w:t xml:space="preserve">Formatted footnoteRef: A</w:t>
      </w:r>
      <w:r>
        <w:rPr>
          <w:b/>
          <w:color w:val="CC0000"/>
          <w:sz w:val="80"/>
          <w:vertAlign w:val="superscript"/>
        </w:rPr>
        <w:footnoteRef/>
      </w:r>
      <w:r>
        <w:t xml:space="preserve">B</w:t>
      </w:r>
    </w:p>
    <w:p>
      <w:pPr>
        <w:spacing w:after="120"/>
      </w:pPr>
      <w:r>
        <w:t>endnoteRef: A</w:t>
        <w:endnoteRef/>
        <w:t>B</w:t>
      </w:r>
    </w:p>
    <w:p>
      <w:pPr>
        <w:spacing w:after="120"/>
      </w:pPr>
      <w:r>
        <w:t xml:space="preserve">Formatted endnoteRef: A</w:t>
      </w:r>
      <w:r>
        <w:rPr>
          <w:b/>
          <w:color w:val="CC0000"/>
          <w:sz w:val="80"/>
          <w:vertAlign w:val="superscript"/>
        </w:rPr>
        <w:endnoteRef/>
      </w:r>
      <w:r>
        <w:t xml:space="preserve">B</w:t>
      </w:r>
    </w:p>
    <w:p>
      <w:pPr>
        <w:spacing w:after="120"/>
      </w:pPr>
      <w:r>
        <w:footnoteRef/>
        <w:endnoteRef/>
      </w:r>
    </w:p>
    <w:p>
      <w:pPr>
        <w:spacing w:after="120"/>
      </w:pPr>
      <w:r>
        <w:t xml:space="preserve">After the marker-only paragraph</w:t>
      </w:r>
    </w:p>
    <w:tbl>
      <w:tblPr>
        <w:tblW w:w="4800" w:type="dxa"/>
      </w:tblPr>
      <w:tblGrid>
        <w:gridCol w:w="4800"/>
      </w:tblGrid>
      <w:tr>
        <w:tc>
          <w:tcPr>
            <w:tcW w:w="4800" w:type="dxa"/>
          </w:tcPr>
          <w:p>
            <w:pPr>
              <w:spacing w:after="120"/>
            </w:pPr>
            <w:r>
              <w:t xml:space="preserve">Table: A</w:t>
            </w:r>
            <w:r>
              <w:footnoteRef/>
              <w:endnoteRef/>
            </w:r>
            <w:r>
              <w:t xml:space="preserve">B</w:t>
            </w:r>
          </w:p>
        </w:tc>
      </w:tr>
    </w:tbl>
    <w:p>
      <w:pPr>
        <w:spacing w:after="120"/>
      </w:pPr>
      <w:r>
        <w:t xml:space="preserve">After the table</w:t>
      </w:r>
    </w:p>
    <w:sectPr>
      <w:footnotePr>
        <w:numFmt w:val="upperRoman"/>
        <w:numStart w:val="7"/>
      </w:footnotePr>
      <w:endnotePr>
        <w:numFmt w:val="lowerLetter"/>
        <w:numStart w:val="3"/>
      </w:endnote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