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160"/>
        <w:jc w:val="right"/>
      </w:pPr>
      <w:r>
        <w:rPr>
          <w:rFonts w:ascii="Calibri" w:hAnsi="Calibri"/>
          <w:kern w:val="0"/>
          <w:sz w:val="40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</w:rPr>
        <w:t>administrative initiative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none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none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none"/>
        </w:rPr>
        <w:t>administrative initiative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"/>
        </w:rPr>
        <w:t>administrative initiative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Contextual"/>
        </w:rPr>
        <w:t>ti ti ti ti ti ti ti ti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Contextual"/>
        </w:rPr>
        <w:t>office affinity efficient</w:t>
      </w:r>
    </w:p>
    <w:p>
      <w:pPr>
        <w:spacing w:after="160"/>
        <w:jc w:val="right"/>
      </w:pPr>
      <w:r>
        <w:rPr>
          <w:rFonts w:ascii="Calibri" w:hAnsi="Calibri"/>
          <w:kern w:val="0"/>
          <w:sz w:val="40"/>
          <w14:ligatures w14:val="standardContextual"/>
        </w:rPr>
        <w:t>administrative initiative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